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eastAsia="zh-CN"/>
        </w:rPr>
        <w:t>满洲里市委组织部（市公务员局）</w:t>
      </w:r>
      <w:r>
        <w:rPr>
          <w:rFonts w:hint="eastAsia" w:ascii="方正小标宋简体" w:hAnsi="方正小标宋简体" w:eastAsia="方正小标宋简体" w:cs="方正小标宋简体"/>
          <w:sz w:val="40"/>
          <w:szCs w:val="40"/>
          <w:lang w:val="en-US" w:eastAsia="zh-CN"/>
        </w:rPr>
        <w:t>2019年</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政府信息公开工作年度报告</w:t>
      </w:r>
    </w:p>
    <w:p>
      <w:pPr>
        <w:rPr>
          <w:rFonts w:hint="eastAsia"/>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sz w:val="34"/>
          <w:szCs w:val="34"/>
          <w:lang w:eastAsia="zh-CN"/>
        </w:rPr>
      </w:pPr>
      <w:r>
        <w:rPr>
          <w:rFonts w:hint="eastAsia" w:ascii="黑体" w:hAnsi="黑体" w:eastAsia="黑体" w:cs="黑体"/>
          <w:sz w:val="34"/>
          <w:szCs w:val="34"/>
          <w:lang w:eastAsia="zh-CN"/>
        </w:rPr>
        <w:t>信息公开工作总体情况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2019年，满洲里市委组织部（市公务员局）认真贯彻落实《中华人民共和国政府信息公开条例》和市委、市政府统一部署，突出政府信息公开重点，提高政府信息公开水平，不断健全完善政府信息公开工作制度，扎实做好政府信息公开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3" w:firstLineChars="200"/>
        <w:textAlignment w:val="auto"/>
        <w:rPr>
          <w:rFonts w:hint="eastAsia" w:ascii="楷体" w:hAnsi="楷体" w:eastAsia="楷体" w:cs="楷体"/>
          <w:b/>
          <w:bCs/>
          <w:sz w:val="34"/>
          <w:szCs w:val="34"/>
          <w:lang w:val="en-US" w:eastAsia="zh-CN"/>
        </w:rPr>
      </w:pPr>
      <w:r>
        <w:rPr>
          <w:rFonts w:hint="eastAsia" w:ascii="楷体" w:hAnsi="楷体" w:eastAsia="楷体" w:cs="楷体"/>
          <w:b/>
          <w:bCs/>
          <w:sz w:val="34"/>
          <w:szCs w:val="34"/>
          <w:lang w:val="en-US" w:eastAsia="zh-CN"/>
        </w:rPr>
        <w:t>（一）机构建设方面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根据机构改革的总体部署和统一归口协调管理公务员工作职能的相关安排，建立“主要领导亲自抓、分管领导具体抓、职能科室抓落实”的工作机制，领导小组负责具体指导、协调、监督政府信息公开工作，及时调整和充实明确具体承办人员，确保了政府信息公开工作的深入开展。</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83" w:firstLineChars="200"/>
        <w:textAlignment w:val="auto"/>
        <w:rPr>
          <w:rFonts w:hint="eastAsia" w:ascii="楷体" w:hAnsi="楷体" w:eastAsia="楷体" w:cs="楷体"/>
          <w:b/>
          <w:bCs/>
          <w:sz w:val="34"/>
          <w:szCs w:val="34"/>
          <w:lang w:val="en-US" w:eastAsia="zh-CN"/>
        </w:rPr>
      </w:pPr>
      <w:r>
        <w:rPr>
          <w:rFonts w:hint="eastAsia" w:ascii="楷体" w:hAnsi="楷体" w:eastAsia="楷体" w:cs="楷体"/>
          <w:b/>
          <w:bCs/>
          <w:sz w:val="34"/>
          <w:szCs w:val="34"/>
          <w:lang w:val="en-US" w:eastAsia="zh-CN"/>
        </w:rPr>
        <w:t>目录梳理方面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明确政府信息公开工作目录，对《中华人民共和国公务员法》等公务员管理工作法律法规政策及公务员局统筹管理公务员事务所规定的有关职能职责情况进行梳理，涉及公务员分类、职位管理、录用、考核、任用、调任、奖惩、表彰、培训、交流、工资福利、辞职、辞退、退休等方面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3" w:firstLineChars="200"/>
        <w:textAlignment w:val="auto"/>
        <w:rPr>
          <w:rFonts w:hint="eastAsia" w:ascii="楷体" w:hAnsi="楷体" w:eastAsia="楷体" w:cs="楷体"/>
          <w:b/>
          <w:bCs/>
          <w:sz w:val="34"/>
          <w:szCs w:val="34"/>
          <w:lang w:val="en-US" w:eastAsia="zh-CN"/>
        </w:rPr>
      </w:pPr>
      <w:r>
        <w:rPr>
          <w:rFonts w:hint="eastAsia" w:ascii="楷体" w:hAnsi="楷体" w:eastAsia="楷体" w:cs="楷体"/>
          <w:b/>
          <w:bCs/>
          <w:sz w:val="34"/>
          <w:szCs w:val="34"/>
          <w:lang w:val="en-US" w:eastAsia="zh-CN"/>
        </w:rPr>
        <w:t>（三）工作落实方面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根据公开要求，把政府信息主动公开工作作为依法行政的重要手段，明确政府信息公开的职责、内容、程序、方式和时限要求，制定依申请公开的工作流程。围绕机构改革人员转隶、公务员集中统一管理、《公务员法》修订等新的变化，对《中共满洲里市委组织部工资业务办理流程详解》《满洲里市公务员职务与职级并行制度实施方案》和《满洲里市公务员职级套转和晋升操作办法》等固定性工作长期公开，基本满足了社会对组织人事部门公开的需求。因内蒙古自治区机构改革工作的统一部署安排，2019年我市未开展公务员招考工作，相关职位、名额、报考条件等事项以及录用结果不涉及公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3" w:firstLineChars="200"/>
        <w:textAlignment w:val="auto"/>
        <w:rPr>
          <w:rFonts w:hint="eastAsia" w:ascii="楷体" w:hAnsi="楷体" w:eastAsia="楷体" w:cs="楷体"/>
          <w:b/>
          <w:bCs/>
          <w:sz w:val="34"/>
          <w:szCs w:val="34"/>
          <w:lang w:val="en-US" w:eastAsia="zh-CN"/>
        </w:rPr>
      </w:pPr>
      <w:r>
        <w:rPr>
          <w:rFonts w:hint="eastAsia" w:ascii="楷体" w:hAnsi="楷体" w:eastAsia="楷体" w:cs="楷体"/>
          <w:b/>
          <w:bCs/>
          <w:sz w:val="34"/>
          <w:szCs w:val="34"/>
          <w:lang w:val="en-US" w:eastAsia="zh-CN"/>
        </w:rPr>
        <w:t>（四）监督管理方面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对日常公开信息，严格落实“一事一审”制，由经办人、科室负责人严格按照审批程序审查后公开。积极开展内部政府信息公开自查工作，对公开程序不规范、内容有错等问题及时加以整改，提高政务公开质量。</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eastAsia="zh-CN"/>
        </w:rPr>
        <w:t>主动公开政府信息情况</w:t>
      </w:r>
    </w:p>
    <w:tbl>
      <w:tblPr>
        <w:tblStyle w:val="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2475"/>
        <w:gridCol w:w="600"/>
        <w:gridCol w:w="1229"/>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信息内容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本年度新制作数量</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本年度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新公开数量</w:t>
            </w:r>
          </w:p>
        </w:tc>
        <w:tc>
          <w:tcPr>
            <w:tcW w:w="215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对外公开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288" w:type="dxa"/>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规章</w:t>
            </w:r>
          </w:p>
        </w:tc>
        <w:tc>
          <w:tcPr>
            <w:tcW w:w="247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规范性文件</w:t>
            </w:r>
          </w:p>
        </w:tc>
        <w:tc>
          <w:tcPr>
            <w:tcW w:w="247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信息内容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上一年项目数量</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本年增/减</w:t>
            </w:r>
          </w:p>
        </w:tc>
        <w:tc>
          <w:tcPr>
            <w:tcW w:w="215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行政许可</w:t>
            </w:r>
          </w:p>
        </w:tc>
        <w:tc>
          <w:tcPr>
            <w:tcW w:w="247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其他对外管理服务事项</w:t>
            </w:r>
          </w:p>
        </w:tc>
        <w:tc>
          <w:tcPr>
            <w:tcW w:w="247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信息内容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上一年项目数量</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本年增/减</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行政处罚</w:t>
            </w:r>
          </w:p>
        </w:tc>
        <w:tc>
          <w:tcPr>
            <w:tcW w:w="247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行政强制</w:t>
            </w:r>
          </w:p>
        </w:tc>
        <w:tc>
          <w:tcPr>
            <w:tcW w:w="247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215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信息内容</w:t>
            </w:r>
          </w:p>
        </w:tc>
        <w:tc>
          <w:tcPr>
            <w:tcW w:w="3075"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上一年项目数量</w:t>
            </w:r>
          </w:p>
        </w:tc>
        <w:tc>
          <w:tcPr>
            <w:tcW w:w="3385"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行政事业性收费</w:t>
            </w:r>
          </w:p>
        </w:tc>
        <w:tc>
          <w:tcPr>
            <w:tcW w:w="3075"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3385"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信息内容</w:t>
            </w:r>
          </w:p>
        </w:tc>
        <w:tc>
          <w:tcPr>
            <w:tcW w:w="3075"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采购项目数量</w:t>
            </w:r>
          </w:p>
        </w:tc>
        <w:tc>
          <w:tcPr>
            <w:tcW w:w="3385"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政府集中采购</w:t>
            </w:r>
          </w:p>
        </w:tc>
        <w:tc>
          <w:tcPr>
            <w:tcW w:w="3075"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3385"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80" w:firstLineChars="200"/>
        <w:textAlignment w:val="auto"/>
        <w:rPr>
          <w:rFonts w:hint="default" w:ascii="黑体" w:hAnsi="黑体" w:eastAsia="黑体" w:cs="黑体"/>
          <w:sz w:val="34"/>
          <w:szCs w:val="34"/>
          <w:lang w:val="en-US" w:eastAsia="zh-CN"/>
        </w:rPr>
      </w:pPr>
      <w:r>
        <w:rPr>
          <w:rFonts w:hint="eastAsia" w:ascii="黑体" w:hAnsi="黑体" w:eastAsia="黑体" w:cs="黑体"/>
          <w:sz w:val="34"/>
          <w:szCs w:val="34"/>
          <w:lang w:eastAsia="zh-CN"/>
        </w:rPr>
        <w:t>收到和处理政府信息公开申请情况</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44"/>
        <w:gridCol w:w="4031"/>
        <w:gridCol w:w="422"/>
        <w:gridCol w:w="450"/>
        <w:gridCol w:w="459"/>
        <w:gridCol w:w="666"/>
        <w:gridCol w:w="478"/>
        <w:gridCol w:w="441"/>
        <w:gridCol w:w="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lang w:val="en-US" w:eastAsia="zh-CN"/>
              </w:rPr>
              <w:t>本列数据的勾稽关系为：第一项加第二项之和，等于第三项加第四项之和</w:t>
            </w:r>
            <w:r>
              <w:rPr>
                <w:rFonts w:hint="eastAsia" w:ascii="仿宋_GB2312" w:hAnsi="仿宋_GB2312" w:eastAsia="仿宋_GB2312" w:cs="仿宋_GB2312"/>
                <w:sz w:val="28"/>
                <w:szCs w:val="28"/>
                <w:vertAlign w:val="baseline"/>
                <w:lang w:eastAsia="zh-CN"/>
              </w:rPr>
              <w:t>）</w:t>
            </w:r>
          </w:p>
        </w:tc>
        <w:tc>
          <w:tcPr>
            <w:tcW w:w="3324"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2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自然人</w:t>
            </w:r>
          </w:p>
        </w:tc>
        <w:tc>
          <w:tcPr>
            <w:tcW w:w="249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法人或其他组织</w:t>
            </w:r>
          </w:p>
        </w:tc>
        <w:tc>
          <w:tcPr>
            <w:tcW w:w="40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2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商业企业</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科研机构</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社会公益组织</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法律服务机构</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w:t>
            </w:r>
          </w:p>
        </w:tc>
        <w:tc>
          <w:tcPr>
            <w:tcW w:w="40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一、本年新收政府信息公开申请数量</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二、上年结转政府信息公开申请数量</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三、本年度办理结果</w:t>
            </w: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(一)予以公开</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(二)部分公开（区分处理的，只计这一情形，不计其他情形）</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(三)不予公开</w:t>
            </w: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1.属于国家秘密</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2.其他法律行政法规禁止公开</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3.危及“三安全一稳定”</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4.保护第三方合法权益</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5.属于三类内部事务信息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6.属于四类过程性信息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7.属于行政执法案卷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8.属于行政查询事项</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(四)无法提供</w:t>
            </w: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1.本机关不掌握相关政府信息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2.没有现成信息需要另行制作</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3.补正后申请内容仍不明确</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(五)不予处理</w:t>
            </w: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1.信访举报投诉类申请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2.重复申请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3.要求提供公开出版物</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4.无正当理由大量反复申请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5.要求行政机关确认或重新出具已获取信息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(六)其他处理</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(七)总计</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四、结转下年度继续办理</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sz w:val="34"/>
          <w:szCs w:val="34"/>
          <w:lang w:eastAsia="zh-CN"/>
        </w:rPr>
      </w:pPr>
      <w:r>
        <w:rPr>
          <w:rFonts w:hint="eastAsia" w:ascii="黑体" w:hAnsi="黑体" w:eastAsia="黑体" w:cs="黑体"/>
          <w:sz w:val="34"/>
          <w:szCs w:val="34"/>
          <w:lang w:eastAsia="zh-CN"/>
        </w:rPr>
        <w:t>政府信息公开行政复议、行政诉讼情况</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590"/>
        <w:gridCol w:w="590"/>
        <w:gridCol w:w="590"/>
        <w:gridCol w:w="590"/>
        <w:gridCol w:w="590"/>
        <w:gridCol w:w="590"/>
        <w:gridCol w:w="590"/>
        <w:gridCol w:w="590"/>
        <w:gridCol w:w="591"/>
        <w:gridCol w:w="591"/>
        <w:gridCol w:w="591"/>
        <w:gridCol w:w="591"/>
        <w:gridCol w:w="591"/>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950" w:type="dxa"/>
            <w:gridSpan w:val="5"/>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行政复议</w:t>
            </w:r>
          </w:p>
        </w:tc>
        <w:tc>
          <w:tcPr>
            <w:tcW w:w="5906" w:type="dxa"/>
            <w:gridSpan w:val="10"/>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结果维持</w:t>
            </w:r>
          </w:p>
        </w:tc>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结果纠正</w:t>
            </w:r>
          </w:p>
        </w:tc>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其他结果</w:t>
            </w:r>
          </w:p>
        </w:tc>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尚未审结</w:t>
            </w:r>
          </w:p>
        </w:tc>
        <w:tc>
          <w:tcPr>
            <w:tcW w:w="590"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总计</w:t>
            </w:r>
          </w:p>
        </w:tc>
        <w:tc>
          <w:tcPr>
            <w:tcW w:w="2951" w:type="dxa"/>
            <w:gridSpan w:val="5"/>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未经复议直接起诉</w:t>
            </w:r>
          </w:p>
        </w:tc>
        <w:tc>
          <w:tcPr>
            <w:tcW w:w="2955" w:type="dxa"/>
            <w:gridSpan w:val="5"/>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Merge w:val="continue"/>
            <w:vAlign w:val="center"/>
          </w:tcPr>
          <w:p>
            <w:pPr>
              <w:jc w:val="center"/>
              <w:rPr>
                <w:rFonts w:hint="eastAsia" w:ascii="仿宋_GB2312" w:hAnsi="仿宋_GB2312" w:eastAsia="仿宋_GB2312" w:cs="仿宋_GB2312"/>
                <w:sz w:val="28"/>
                <w:szCs w:val="28"/>
                <w:vertAlign w:val="baseline"/>
              </w:rPr>
            </w:pP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结果维持</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结果纠正</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其他结果</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尚未审结</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总计</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结果维持</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结果纠正</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其他结果</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尚未审结</w:t>
            </w:r>
          </w:p>
        </w:tc>
        <w:tc>
          <w:tcPr>
            <w:tcW w:w="591"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c>
          <w:tcPr>
            <w:tcW w:w="59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80" w:firstLineChars="200"/>
        <w:textAlignment w:val="auto"/>
        <w:rPr>
          <w:rFonts w:hint="eastAsia" w:ascii="黑体" w:hAnsi="黑体" w:eastAsia="黑体" w:cs="黑体"/>
          <w:sz w:val="34"/>
          <w:szCs w:val="34"/>
          <w:lang w:eastAsia="zh-CN"/>
        </w:rPr>
      </w:pPr>
      <w:r>
        <w:rPr>
          <w:rFonts w:hint="eastAsia" w:ascii="黑体" w:hAnsi="黑体" w:eastAsia="黑体" w:cs="黑体"/>
          <w:sz w:val="34"/>
          <w:szCs w:val="34"/>
          <w:lang w:eastAsia="zh-CN"/>
        </w:rPr>
        <w:t>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eastAsia="zh-CN"/>
        </w:rPr>
        <w:t>2019年，我部（局）政府信息公开工作取得了一定进展，但也存在一些问题。主要表现在：</w:t>
      </w:r>
      <w:r>
        <w:rPr>
          <w:rFonts w:hint="eastAsia" w:ascii="仿宋_GB2312" w:hAnsi="仿宋_GB2312" w:eastAsia="仿宋_GB2312" w:cs="仿宋_GB2312"/>
          <w:b/>
          <w:bCs/>
          <w:sz w:val="34"/>
          <w:szCs w:val="34"/>
          <w:lang w:eastAsia="zh-CN"/>
        </w:rPr>
        <w:t>一是</w:t>
      </w:r>
      <w:r>
        <w:rPr>
          <w:rFonts w:hint="eastAsia" w:ascii="仿宋_GB2312" w:hAnsi="仿宋_GB2312" w:eastAsia="仿宋_GB2312" w:cs="仿宋_GB2312"/>
          <w:sz w:val="34"/>
          <w:szCs w:val="34"/>
          <w:lang w:eastAsia="zh-CN"/>
        </w:rPr>
        <w:t>现有主动公开的政府信息与公众的需求还存在一些距离，公开内容需要进一步深化。</w:t>
      </w:r>
      <w:r>
        <w:rPr>
          <w:rFonts w:hint="eastAsia" w:ascii="仿宋_GB2312" w:hAnsi="仿宋_GB2312" w:eastAsia="仿宋_GB2312" w:cs="仿宋_GB2312"/>
          <w:b/>
          <w:bCs/>
          <w:sz w:val="34"/>
          <w:szCs w:val="34"/>
        </w:rPr>
        <w:t>二是</w:t>
      </w:r>
      <w:r>
        <w:rPr>
          <w:rFonts w:hint="eastAsia" w:ascii="仿宋_GB2312" w:hAnsi="仿宋_GB2312" w:eastAsia="仿宋_GB2312" w:cs="仿宋_GB2312"/>
          <w:sz w:val="34"/>
          <w:szCs w:val="34"/>
          <w:lang w:eastAsia="zh-CN"/>
        </w:rPr>
        <w:t>公开信息的便民性需要进一步提高，适合群众查阅的公开形式不够丰富</w:t>
      </w:r>
      <w:r>
        <w:rPr>
          <w:rFonts w:hint="eastAsia" w:ascii="仿宋_GB2312" w:hAnsi="仿宋_GB2312" w:eastAsia="仿宋_GB2312" w:cs="仿宋_GB2312"/>
          <w:sz w:val="34"/>
          <w:szCs w:val="34"/>
        </w:rPr>
        <w:t>。</w:t>
      </w:r>
      <w:r>
        <w:rPr>
          <w:rFonts w:hint="eastAsia" w:ascii="仿宋_GB2312" w:hAnsi="仿宋_GB2312" w:eastAsia="仿宋_GB2312" w:cs="仿宋_GB2312"/>
          <w:b/>
          <w:bCs/>
          <w:sz w:val="34"/>
          <w:szCs w:val="34"/>
          <w:lang w:eastAsia="zh-CN"/>
        </w:rPr>
        <w:t>三是</w:t>
      </w:r>
      <w:r>
        <w:rPr>
          <w:rFonts w:hint="eastAsia" w:ascii="仿宋_GB2312" w:hAnsi="仿宋_GB2312" w:eastAsia="仿宋_GB2312" w:cs="仿宋_GB2312"/>
          <w:sz w:val="34"/>
          <w:szCs w:val="34"/>
          <w:lang w:eastAsia="zh-CN"/>
        </w:rPr>
        <w:t>政府信息公开工作人员业务水平不高，具体承办人员需加强学习培训，规范办理政府信息公开工作的水平。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rPr>
        <w:t>为此，</w:t>
      </w:r>
      <w:r>
        <w:rPr>
          <w:rFonts w:hint="eastAsia" w:ascii="仿宋_GB2312" w:hAnsi="仿宋_GB2312" w:eastAsia="仿宋_GB2312" w:cs="仿宋_GB2312"/>
          <w:sz w:val="34"/>
          <w:szCs w:val="34"/>
          <w:lang w:eastAsia="zh-CN"/>
        </w:rPr>
        <w:t>我部（局）</w:t>
      </w:r>
      <w:r>
        <w:rPr>
          <w:rFonts w:hint="eastAsia" w:ascii="仿宋_GB2312" w:hAnsi="仿宋_GB2312" w:eastAsia="仿宋_GB2312" w:cs="仿宋_GB2312"/>
          <w:sz w:val="34"/>
          <w:szCs w:val="34"/>
        </w:rPr>
        <w:t>将采取以下改进措施</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b/>
          <w:bCs/>
          <w:sz w:val="34"/>
          <w:szCs w:val="34"/>
          <w:lang w:eastAsia="zh-CN"/>
        </w:rPr>
        <w:t>一是</w:t>
      </w:r>
      <w:r>
        <w:rPr>
          <w:rFonts w:hint="eastAsia" w:ascii="仿宋_GB2312" w:hAnsi="仿宋_GB2312" w:eastAsia="仿宋_GB2312" w:cs="仿宋_GB2312"/>
          <w:sz w:val="34"/>
          <w:szCs w:val="34"/>
          <w:lang w:eastAsia="zh-CN"/>
        </w:rPr>
        <w:t>深化公开内容，加强政府信息公开信息梳理。更新完善我部（局）官方网站的信息公开专栏，公开主要职责、机构设置及职能、领导人员、办公地址、办公时间、联系方式以及办事指南，以社会需求为导向，选择社会关注度高的信息作为突破口，拓展政府信息内容深度，试行对规范性文件等政府信息开展相关解读工作。</w:t>
      </w:r>
      <w:r>
        <w:rPr>
          <w:rFonts w:hint="eastAsia" w:ascii="仿宋_GB2312" w:hAnsi="仿宋_GB2312" w:eastAsia="仿宋_GB2312" w:cs="仿宋_GB2312"/>
          <w:b/>
          <w:bCs/>
          <w:sz w:val="34"/>
          <w:szCs w:val="34"/>
          <w:lang w:eastAsia="zh-CN"/>
        </w:rPr>
        <w:t>二是</w:t>
      </w:r>
      <w:r>
        <w:rPr>
          <w:rFonts w:hint="eastAsia" w:ascii="仿宋_GB2312" w:hAnsi="仿宋_GB2312" w:eastAsia="仿宋_GB2312" w:cs="仿宋_GB2312"/>
          <w:sz w:val="34"/>
          <w:szCs w:val="34"/>
          <w:lang w:eastAsia="zh-CN"/>
        </w:rPr>
        <w:t>丰富公开形式，进一步推动政府信息公开工作创新。积极探索推进政府信息公开工作的新思路、新举措，坚持以政府信息公开平台为第一载体，</w:t>
      </w:r>
      <w:r>
        <w:rPr>
          <w:rFonts w:hint="eastAsia" w:ascii="仿宋_GB2312" w:hAnsi="仿宋_GB2312" w:eastAsia="仿宋_GB2312" w:cs="仿宋_GB2312"/>
          <w:sz w:val="34"/>
          <w:szCs w:val="34"/>
        </w:rPr>
        <w:t>通过网站、微博、微信等</w:t>
      </w:r>
      <w:r>
        <w:rPr>
          <w:rFonts w:hint="eastAsia" w:ascii="仿宋_GB2312" w:hAnsi="仿宋_GB2312" w:eastAsia="仿宋_GB2312" w:cs="仿宋_GB2312"/>
          <w:sz w:val="34"/>
          <w:szCs w:val="34"/>
          <w:lang w:eastAsia="zh-CN"/>
        </w:rPr>
        <w:t>新</w:t>
      </w:r>
      <w:r>
        <w:rPr>
          <w:rFonts w:hint="eastAsia" w:ascii="仿宋_GB2312" w:hAnsi="仿宋_GB2312" w:eastAsia="仿宋_GB2312" w:cs="仿宋_GB2312"/>
          <w:sz w:val="34"/>
          <w:szCs w:val="34"/>
        </w:rPr>
        <w:t>媒体强化宣传的力度、广度，</w:t>
      </w:r>
      <w:r>
        <w:rPr>
          <w:rFonts w:hint="eastAsia" w:ascii="仿宋_GB2312" w:hAnsi="仿宋_GB2312" w:eastAsia="仿宋_GB2312" w:cs="仿宋_GB2312"/>
          <w:sz w:val="34"/>
          <w:szCs w:val="34"/>
          <w:lang w:eastAsia="zh-CN"/>
        </w:rPr>
        <w:t>以新闻报道及时发布最新工作动态情况，根据实际情况在走廊、会议室设立宣传栏，印制政策解读手册，提高政府信息公开的透明性和全面性。</w:t>
      </w:r>
      <w:r>
        <w:rPr>
          <w:rFonts w:hint="eastAsia" w:ascii="仿宋_GB2312" w:hAnsi="仿宋_GB2312" w:eastAsia="仿宋_GB2312" w:cs="仿宋_GB2312"/>
          <w:b/>
          <w:bCs/>
          <w:sz w:val="34"/>
          <w:szCs w:val="34"/>
          <w:lang w:eastAsia="zh-CN"/>
        </w:rPr>
        <w:t>三是</w:t>
      </w:r>
      <w:r>
        <w:rPr>
          <w:rFonts w:hint="eastAsia" w:ascii="仿宋_GB2312" w:hAnsi="仿宋_GB2312" w:eastAsia="仿宋_GB2312" w:cs="仿宋_GB2312"/>
          <w:sz w:val="34"/>
          <w:szCs w:val="34"/>
          <w:lang w:eastAsia="zh-CN"/>
        </w:rPr>
        <w:t>夯实基础，完善政府信息公开工作机制。从工作实际出发，明确界定主动公开、依申请公开和免予公开政府信息范围，严格执行政府信息公开前保密审查制度。同时，加强工作人员配备和工作联络员的学习培训，确保政府信息公开工作人员到位、责任到位、有序开展。</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0" w:firstLineChars="200"/>
        <w:textAlignment w:val="auto"/>
        <w:rPr>
          <w:rFonts w:hint="default" w:ascii="仿宋_GB2312" w:hAnsi="仿宋_GB2312" w:eastAsia="仿宋_GB2312" w:cs="仿宋_GB2312"/>
          <w:sz w:val="34"/>
          <w:szCs w:val="34"/>
          <w:lang w:val="en-US" w:eastAsia="zh-CN"/>
        </w:rPr>
      </w:pPr>
      <w:r>
        <w:rPr>
          <w:rFonts w:hint="default" w:ascii="仿宋_GB2312" w:hAnsi="仿宋_GB2312" w:eastAsia="仿宋_GB2312" w:cs="仿宋_GB2312"/>
          <w:sz w:val="34"/>
          <w:szCs w:val="34"/>
          <w:lang w:val="en-US" w:eastAsia="zh-CN"/>
        </w:rPr>
        <w:t>2019年度无其他需要报告事项。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A41C0"/>
    <w:multiLevelType w:val="singleLevel"/>
    <w:tmpl w:val="868A41C0"/>
    <w:lvl w:ilvl="0" w:tentative="0">
      <w:start w:val="2"/>
      <w:numFmt w:val="chineseCounting"/>
      <w:suff w:val="nothing"/>
      <w:lvlText w:val="（%1）"/>
      <w:lvlJc w:val="left"/>
      <w:rPr>
        <w:rFonts w:hint="eastAsia"/>
      </w:rPr>
    </w:lvl>
  </w:abstractNum>
  <w:abstractNum w:abstractNumId="1">
    <w:nsid w:val="12437D71"/>
    <w:multiLevelType w:val="singleLevel"/>
    <w:tmpl w:val="12437D7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F0FD2"/>
    <w:rsid w:val="03F00317"/>
    <w:rsid w:val="053D4CB8"/>
    <w:rsid w:val="07AC0FF5"/>
    <w:rsid w:val="0E5D031E"/>
    <w:rsid w:val="104B68C7"/>
    <w:rsid w:val="12262359"/>
    <w:rsid w:val="13A8177A"/>
    <w:rsid w:val="13E62B71"/>
    <w:rsid w:val="15A86043"/>
    <w:rsid w:val="1ABC7310"/>
    <w:rsid w:val="1CD65859"/>
    <w:rsid w:val="20061F60"/>
    <w:rsid w:val="24C3405F"/>
    <w:rsid w:val="277349E0"/>
    <w:rsid w:val="2F5A364E"/>
    <w:rsid w:val="37064311"/>
    <w:rsid w:val="3B724895"/>
    <w:rsid w:val="3CA2164B"/>
    <w:rsid w:val="3CC02314"/>
    <w:rsid w:val="3FEF33CA"/>
    <w:rsid w:val="426034CC"/>
    <w:rsid w:val="4C7556DA"/>
    <w:rsid w:val="50CE49BB"/>
    <w:rsid w:val="52EF1389"/>
    <w:rsid w:val="5BBD41DF"/>
    <w:rsid w:val="5C412116"/>
    <w:rsid w:val="5E7A6FBE"/>
    <w:rsid w:val="60C12BDC"/>
    <w:rsid w:val="63B53E2F"/>
    <w:rsid w:val="65357CE5"/>
    <w:rsid w:val="66CD0278"/>
    <w:rsid w:val="67347698"/>
    <w:rsid w:val="689C7010"/>
    <w:rsid w:val="6CA06448"/>
    <w:rsid w:val="6EB11B11"/>
    <w:rsid w:val="71E21E08"/>
    <w:rsid w:val="71F7305D"/>
    <w:rsid w:val="74443BD5"/>
    <w:rsid w:val="78A227A1"/>
    <w:rsid w:val="79484EBA"/>
    <w:rsid w:val="7E584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0000</cp:lastModifiedBy>
  <dcterms:modified xsi:type="dcterms:W3CDTF">2020-03-25T08:03:34Z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