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
    <w:p/>
    <w:p/>
    <w:p>
      <w:pPr>
        <w:widowControl w:val="0"/>
        <w:adjustRightInd/>
        <w:snapToGrid/>
        <w:jc w:val="center"/>
        <w:rPr>
          <w:rFonts w:eastAsia="黑体" w:cs="Times New Roman"/>
          <w:kern w:val="2"/>
          <w:sz w:val="48"/>
          <w:szCs w:val="48"/>
        </w:rPr>
      </w:pPr>
      <w:bookmarkStart w:id="58" w:name="_GoBack"/>
      <w:r>
        <w:rPr>
          <w:rFonts w:hint="eastAsia" w:eastAsia="黑体" w:cs="Times New Roman"/>
          <w:kern w:val="2"/>
          <w:sz w:val="48"/>
          <w:szCs w:val="48"/>
        </w:rPr>
        <w:t>满洲里市“十四五”生态环境</w:t>
      </w:r>
    </w:p>
    <w:p>
      <w:pPr>
        <w:widowControl w:val="0"/>
        <w:adjustRightInd/>
        <w:snapToGrid/>
        <w:jc w:val="center"/>
        <w:rPr>
          <w:rFonts w:eastAsia="黑体" w:cs="Times New Roman"/>
          <w:kern w:val="2"/>
          <w:sz w:val="48"/>
          <w:szCs w:val="48"/>
        </w:rPr>
      </w:pPr>
      <w:r>
        <w:rPr>
          <w:rFonts w:hint="eastAsia" w:eastAsia="黑体" w:cs="Times New Roman"/>
          <w:kern w:val="2"/>
          <w:sz w:val="48"/>
          <w:szCs w:val="48"/>
        </w:rPr>
        <w:t>保护规划</w:t>
      </w:r>
    </w:p>
    <w:bookmarkEnd w:id="58"/>
    <w:p>
      <w:pPr>
        <w:pStyle w:val="2"/>
        <w:rPr>
          <w:rFonts w:ascii="黑体" w:hAnsi="黑体" w:eastAsia="黑体"/>
          <w:sz w:val="48"/>
          <w:szCs w:val="48"/>
        </w:rPr>
      </w:pPr>
      <w:r>
        <w:rPr>
          <w:rFonts w:hint="eastAsia"/>
        </w:rPr>
        <w:t xml:space="preserve"> </w:t>
      </w:r>
      <w:r>
        <w:t xml:space="preserve">                  </w:t>
      </w:r>
    </w:p>
    <w:p>
      <w:pPr>
        <w:widowControl w:val="0"/>
        <w:adjustRightInd/>
        <w:snapToGrid/>
        <w:rPr>
          <w:rFonts w:eastAsia="黑体" w:cs="Times New Roman"/>
          <w:kern w:val="2"/>
          <w:sz w:val="48"/>
          <w:szCs w:val="48"/>
        </w:rPr>
      </w:pPr>
    </w:p>
    <w:p>
      <w:pPr>
        <w:widowControl w:val="0"/>
        <w:adjustRightInd/>
        <w:snapToGrid/>
        <w:jc w:val="center"/>
        <w:rPr>
          <w:rFonts w:eastAsia="黑体" w:cs="Times New Roman"/>
          <w:kern w:val="2"/>
          <w:sz w:val="48"/>
          <w:szCs w:val="48"/>
        </w:rPr>
      </w:pPr>
    </w:p>
    <w:p>
      <w:pPr>
        <w:widowControl w:val="0"/>
        <w:adjustRightInd/>
        <w:snapToGrid/>
        <w:jc w:val="center"/>
        <w:rPr>
          <w:rFonts w:eastAsia="黑体" w:cs="Times New Roman"/>
          <w:kern w:val="2"/>
          <w:sz w:val="48"/>
          <w:szCs w:val="48"/>
        </w:rPr>
      </w:pPr>
    </w:p>
    <w:p>
      <w:pPr>
        <w:widowControl w:val="0"/>
        <w:adjustRightInd/>
        <w:snapToGrid/>
        <w:jc w:val="center"/>
        <w:rPr>
          <w:rFonts w:eastAsia="黑体" w:cs="Times New Roman"/>
          <w:kern w:val="2"/>
          <w:sz w:val="48"/>
          <w:szCs w:val="48"/>
        </w:rPr>
      </w:pPr>
      <w:r>
        <w:drawing>
          <wp:inline distT="0" distB="0" distL="0" distR="0">
            <wp:extent cx="4524375" cy="2687955"/>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7"/>
                    <a:stretch>
                      <a:fillRect/>
                    </a:stretch>
                  </pic:blipFill>
                  <pic:spPr>
                    <a:xfrm>
                      <a:off x="0" y="0"/>
                      <a:ext cx="4541875" cy="2698550"/>
                    </a:xfrm>
                    <a:prstGeom prst="rect">
                      <a:avLst/>
                    </a:prstGeom>
                  </pic:spPr>
                </pic:pic>
              </a:graphicData>
            </a:graphic>
          </wp:inline>
        </w:drawing>
      </w:r>
    </w:p>
    <w:p>
      <w:pPr>
        <w:widowControl w:val="0"/>
        <w:adjustRightInd/>
        <w:snapToGrid/>
        <w:jc w:val="center"/>
        <w:rPr>
          <w:rFonts w:eastAsia="黑体" w:cs="Times New Roman"/>
          <w:kern w:val="2"/>
          <w:sz w:val="48"/>
          <w:szCs w:val="48"/>
        </w:rPr>
      </w:pPr>
    </w:p>
    <w:p>
      <w:pPr>
        <w:widowControl w:val="0"/>
        <w:adjustRightInd/>
        <w:snapToGrid/>
        <w:jc w:val="center"/>
        <w:rPr>
          <w:rFonts w:eastAsia="黑体" w:cs="Times New Roman"/>
          <w:kern w:val="2"/>
          <w:sz w:val="48"/>
          <w:szCs w:val="48"/>
        </w:rPr>
      </w:pPr>
    </w:p>
    <w:p>
      <w:pPr>
        <w:widowControl w:val="0"/>
        <w:adjustRightInd/>
        <w:snapToGrid/>
        <w:jc w:val="center"/>
        <w:rPr>
          <w:rFonts w:eastAsia="黑体" w:cs="Times New Roman"/>
          <w:kern w:val="2"/>
          <w:sz w:val="48"/>
          <w:szCs w:val="48"/>
        </w:rPr>
      </w:pPr>
    </w:p>
    <w:p>
      <w:pPr>
        <w:widowControl w:val="0"/>
        <w:adjustRightInd/>
        <w:snapToGrid/>
        <w:jc w:val="center"/>
        <w:rPr>
          <w:rFonts w:ascii="仿宋_GB2312" w:cs="Times New Roman"/>
          <w:b/>
          <w:kern w:val="2"/>
          <w:szCs w:val="30"/>
        </w:rPr>
      </w:pPr>
      <w:r>
        <w:rPr>
          <w:rFonts w:hint="eastAsia" w:ascii="仿宋_GB2312" w:cs="Times New Roman"/>
          <w:b/>
          <w:kern w:val="2"/>
          <w:szCs w:val="30"/>
        </w:rPr>
        <w:t>满洲里市人民政府</w:t>
      </w:r>
    </w:p>
    <w:p>
      <w:pPr>
        <w:widowControl w:val="0"/>
        <w:adjustRightInd/>
        <w:snapToGrid/>
        <w:jc w:val="center"/>
        <w:rPr>
          <w:rFonts w:cs="Times New Roman"/>
          <w:b/>
          <w:kern w:val="2"/>
          <w:sz w:val="44"/>
          <w:szCs w:val="44"/>
        </w:rPr>
        <w:sectPr>
          <w:pgSz w:w="11906" w:h="16838"/>
          <w:pgMar w:top="1440" w:right="1800" w:bottom="1440" w:left="1800" w:header="851" w:footer="992" w:gutter="0"/>
          <w:cols w:space="425" w:num="1"/>
          <w:docGrid w:type="lines" w:linePitch="312" w:charSpace="0"/>
        </w:sectPr>
      </w:pPr>
      <w:r>
        <w:rPr>
          <w:rFonts w:cs="Times New Roman"/>
          <w:b/>
          <w:kern w:val="2"/>
          <w:szCs w:val="30"/>
        </w:rPr>
        <w:t>2023年6月</w:t>
      </w:r>
    </w:p>
    <w:sdt>
      <w:sdtPr>
        <w:rPr>
          <w:rFonts w:ascii="Times New Roman" w:hAnsi="Times New Roman" w:eastAsia="仿宋_GB2312" w:cs="宋体"/>
          <w:color w:val="auto"/>
          <w:sz w:val="30"/>
          <w:szCs w:val="24"/>
          <w:lang w:val="zh-CN"/>
        </w:rPr>
        <w:id w:val="657658646"/>
        <w:docPartObj>
          <w:docPartGallery w:val="Table of Contents"/>
          <w:docPartUnique/>
        </w:docPartObj>
      </w:sdtPr>
      <w:sdtEndPr>
        <w:rPr>
          <w:rFonts w:ascii="Times New Roman" w:hAnsi="Times New Roman" w:eastAsia="仿宋_GB2312" w:cs="Times New Roman"/>
          <w:b/>
          <w:bCs/>
          <w:color w:val="auto"/>
          <w:sz w:val="24"/>
          <w:szCs w:val="24"/>
          <w:lang w:val="zh-CN"/>
        </w:rPr>
      </w:sdtEndPr>
      <w:sdtContent>
        <w:p>
          <w:pPr>
            <w:pStyle w:val="21"/>
            <w:adjustRightInd w:val="0"/>
            <w:snapToGrid w:val="0"/>
            <w:spacing w:line="360" w:lineRule="auto"/>
            <w:jc w:val="center"/>
            <w:rPr>
              <w:rFonts w:ascii="Times New Roman" w:hAnsi="Times New Roman" w:eastAsia="仿宋_GB2312" w:cs="Times New Roman"/>
              <w:b/>
              <w:bCs/>
              <w:color w:val="auto"/>
              <w:sz w:val="36"/>
              <w:szCs w:val="36"/>
            </w:rPr>
          </w:pPr>
          <w:r>
            <w:rPr>
              <w:rFonts w:ascii="Times New Roman" w:hAnsi="Times New Roman" w:eastAsia="仿宋_GB2312" w:cs="Times New Roman"/>
              <w:b/>
              <w:bCs/>
              <w:color w:val="auto"/>
              <w:sz w:val="36"/>
              <w:szCs w:val="36"/>
              <w:lang w:val="zh-CN"/>
            </w:rPr>
            <w:t>目</w:t>
          </w:r>
          <w:r>
            <w:rPr>
              <w:rFonts w:hint="eastAsia" w:ascii="Times New Roman" w:hAnsi="Times New Roman" w:eastAsia="仿宋_GB2312" w:cs="Times New Roman"/>
              <w:b/>
              <w:bCs/>
              <w:color w:val="auto"/>
              <w:sz w:val="36"/>
              <w:szCs w:val="36"/>
            </w:rPr>
            <w:t xml:space="preserve"> </w:t>
          </w:r>
          <w:r>
            <w:rPr>
              <w:rFonts w:ascii="Times New Roman" w:hAnsi="Times New Roman" w:eastAsia="仿宋_GB2312" w:cs="Times New Roman"/>
              <w:b/>
              <w:bCs/>
              <w:color w:val="auto"/>
              <w:sz w:val="36"/>
              <w:szCs w:val="36"/>
              <w:lang w:val="zh-CN"/>
            </w:rPr>
            <w:t>录</w:t>
          </w:r>
        </w:p>
        <w:p>
          <w:pPr>
            <w:pStyle w:val="9"/>
            <w:rPr>
              <w:rFonts w:ascii="Times New Roman" w:hAnsi="Times New Roman" w:eastAsia="仿宋_GB2312"/>
              <w:b w:val="0"/>
              <w:bCs w:val="0"/>
              <w:kern w:val="2"/>
              <w:sz w:val="24"/>
              <w:szCs w:val="24"/>
            </w:rPr>
          </w:pPr>
          <w:r>
            <w:rPr>
              <w:rFonts w:ascii="Times New Roman" w:hAnsi="Times New Roman" w:eastAsia="仿宋_GB2312"/>
              <w:sz w:val="24"/>
              <w:szCs w:val="24"/>
            </w:rPr>
            <w:fldChar w:fldCharType="begin"/>
          </w:r>
          <w:r>
            <w:rPr>
              <w:rFonts w:ascii="Times New Roman" w:hAnsi="Times New Roman" w:eastAsia="仿宋_GB2312"/>
              <w:sz w:val="24"/>
              <w:szCs w:val="24"/>
            </w:rPr>
            <w:instrText xml:space="preserve"> TOC \o "1-3" \h \z \u </w:instrText>
          </w:r>
          <w:r>
            <w:rPr>
              <w:rFonts w:ascii="Times New Roman" w:hAnsi="Times New Roman" w:eastAsia="仿宋_GB2312"/>
              <w:sz w:val="24"/>
              <w:szCs w:val="24"/>
            </w:rPr>
            <w:fldChar w:fldCharType="separate"/>
          </w:r>
          <w:r>
            <w:fldChar w:fldCharType="begin"/>
          </w:r>
          <w:r>
            <w:instrText xml:space="preserve"> HYPERLINK \l "_Toc123548267" </w:instrText>
          </w:r>
          <w:r>
            <w:fldChar w:fldCharType="separate"/>
          </w:r>
          <w:r>
            <w:rPr>
              <w:rStyle w:val="14"/>
              <w:rFonts w:ascii="Times New Roman" w:hAnsi="Times New Roman" w:eastAsia="仿宋_GB2312"/>
              <w:color w:val="auto"/>
              <w:sz w:val="24"/>
              <w:szCs w:val="24"/>
            </w:rPr>
            <w:t>第一章  生态环境保护成就与形势</w:t>
          </w:r>
          <w:r>
            <w:rPr>
              <w:rFonts w:ascii="Times New Roman" w:hAnsi="Times New Roman" w:eastAsia="仿宋_GB2312"/>
              <w:sz w:val="24"/>
              <w:szCs w:val="24"/>
            </w:rPr>
            <w:tab/>
          </w:r>
          <w:r>
            <w:rPr>
              <w:rFonts w:ascii="Times New Roman" w:hAnsi="Times New Roman" w:eastAsia="仿宋_GB2312"/>
              <w:sz w:val="24"/>
              <w:szCs w:val="24"/>
            </w:rPr>
            <w:fldChar w:fldCharType="begin"/>
          </w:r>
          <w:r>
            <w:rPr>
              <w:rFonts w:ascii="Times New Roman" w:hAnsi="Times New Roman" w:eastAsia="仿宋_GB2312"/>
              <w:sz w:val="24"/>
              <w:szCs w:val="24"/>
            </w:rPr>
            <w:instrText xml:space="preserve"> PAGEREF _Toc123548267 \h </w:instrText>
          </w:r>
          <w:r>
            <w:rPr>
              <w:rFonts w:ascii="Times New Roman" w:hAnsi="Times New Roman" w:eastAsia="仿宋_GB2312"/>
              <w:sz w:val="24"/>
              <w:szCs w:val="24"/>
            </w:rPr>
            <w:fldChar w:fldCharType="separate"/>
          </w:r>
          <w:r>
            <w:rPr>
              <w:rFonts w:ascii="Times New Roman" w:hAnsi="Times New Roman" w:eastAsia="仿宋_GB2312"/>
              <w:sz w:val="24"/>
              <w:szCs w:val="24"/>
            </w:rPr>
            <w:t>1</w:t>
          </w:r>
          <w:r>
            <w:rPr>
              <w:rFonts w:ascii="Times New Roman" w:hAnsi="Times New Roman" w:eastAsia="仿宋_GB2312"/>
              <w:sz w:val="24"/>
              <w:szCs w:val="24"/>
            </w:rPr>
            <w:fldChar w:fldCharType="end"/>
          </w:r>
          <w:r>
            <w:rPr>
              <w:rFonts w:ascii="Times New Roman" w:hAnsi="Times New Roman" w:eastAsia="仿宋_GB2312"/>
              <w:sz w:val="24"/>
              <w:szCs w:val="24"/>
            </w:rPr>
            <w:fldChar w:fldCharType="end"/>
          </w:r>
        </w:p>
        <w:p>
          <w:pPr>
            <w:pStyle w:val="10"/>
            <w:tabs>
              <w:tab w:val="right" w:leader="dot" w:pos="8296"/>
            </w:tabs>
            <w:adjustRightInd w:val="0"/>
            <w:snapToGrid w:val="0"/>
            <w:rPr>
              <w:rFonts w:ascii="Times New Roman" w:hAnsi="Times New Roman" w:eastAsia="仿宋_GB2312"/>
              <w:kern w:val="2"/>
              <w:sz w:val="24"/>
              <w:szCs w:val="24"/>
            </w:rPr>
          </w:pPr>
          <w:r>
            <w:fldChar w:fldCharType="begin"/>
          </w:r>
          <w:r>
            <w:instrText xml:space="preserve"> HYPERLINK \l "_Toc123548268" </w:instrText>
          </w:r>
          <w:r>
            <w:fldChar w:fldCharType="separate"/>
          </w:r>
          <w:r>
            <w:rPr>
              <w:rStyle w:val="14"/>
              <w:rFonts w:ascii="Times New Roman" w:hAnsi="Times New Roman" w:eastAsia="仿宋_GB2312"/>
              <w:color w:val="auto"/>
              <w:sz w:val="24"/>
              <w:szCs w:val="24"/>
            </w:rPr>
            <w:t>第一节  生态环境保护工作取得新成就</w:t>
          </w:r>
          <w:r>
            <w:rPr>
              <w:rFonts w:ascii="Times New Roman" w:hAnsi="Times New Roman" w:eastAsia="仿宋_GB2312"/>
              <w:sz w:val="24"/>
              <w:szCs w:val="24"/>
            </w:rPr>
            <w:tab/>
          </w:r>
          <w:r>
            <w:rPr>
              <w:rFonts w:ascii="Times New Roman" w:hAnsi="Times New Roman" w:eastAsia="仿宋_GB2312"/>
              <w:sz w:val="24"/>
              <w:szCs w:val="24"/>
            </w:rPr>
            <w:fldChar w:fldCharType="begin"/>
          </w:r>
          <w:r>
            <w:rPr>
              <w:rFonts w:ascii="Times New Roman" w:hAnsi="Times New Roman" w:eastAsia="仿宋_GB2312"/>
              <w:sz w:val="24"/>
              <w:szCs w:val="24"/>
            </w:rPr>
            <w:instrText xml:space="preserve"> PAGEREF _Toc123548268 \h </w:instrText>
          </w:r>
          <w:r>
            <w:rPr>
              <w:rFonts w:ascii="Times New Roman" w:hAnsi="Times New Roman" w:eastAsia="仿宋_GB2312"/>
              <w:sz w:val="24"/>
              <w:szCs w:val="24"/>
            </w:rPr>
            <w:fldChar w:fldCharType="separate"/>
          </w:r>
          <w:r>
            <w:rPr>
              <w:rFonts w:ascii="Times New Roman" w:hAnsi="Times New Roman" w:eastAsia="仿宋_GB2312"/>
              <w:sz w:val="24"/>
              <w:szCs w:val="24"/>
            </w:rPr>
            <w:t>1</w:t>
          </w:r>
          <w:r>
            <w:rPr>
              <w:rFonts w:ascii="Times New Roman" w:hAnsi="Times New Roman" w:eastAsia="仿宋_GB2312"/>
              <w:sz w:val="24"/>
              <w:szCs w:val="24"/>
            </w:rPr>
            <w:fldChar w:fldCharType="end"/>
          </w:r>
          <w:r>
            <w:rPr>
              <w:rFonts w:ascii="Times New Roman" w:hAnsi="Times New Roman" w:eastAsia="仿宋_GB2312"/>
              <w:sz w:val="24"/>
              <w:szCs w:val="24"/>
            </w:rPr>
            <w:fldChar w:fldCharType="end"/>
          </w:r>
        </w:p>
        <w:p>
          <w:pPr>
            <w:pStyle w:val="10"/>
            <w:tabs>
              <w:tab w:val="right" w:leader="dot" w:pos="8296"/>
            </w:tabs>
            <w:adjustRightInd w:val="0"/>
            <w:snapToGrid w:val="0"/>
            <w:rPr>
              <w:rFonts w:ascii="Times New Roman" w:hAnsi="Times New Roman" w:eastAsia="仿宋_GB2312"/>
              <w:kern w:val="2"/>
              <w:sz w:val="24"/>
              <w:szCs w:val="24"/>
            </w:rPr>
          </w:pPr>
          <w:r>
            <w:fldChar w:fldCharType="begin"/>
          </w:r>
          <w:r>
            <w:instrText xml:space="preserve"> HYPERLINK \l "_Toc123548269" </w:instrText>
          </w:r>
          <w:r>
            <w:fldChar w:fldCharType="separate"/>
          </w:r>
          <w:r>
            <w:rPr>
              <w:rStyle w:val="14"/>
              <w:rFonts w:ascii="Times New Roman" w:hAnsi="Times New Roman" w:eastAsia="仿宋_GB2312"/>
              <w:color w:val="auto"/>
              <w:sz w:val="24"/>
              <w:szCs w:val="24"/>
            </w:rPr>
            <w:t>第二节  生态环境保护工作进入新阶段</w:t>
          </w:r>
          <w:r>
            <w:rPr>
              <w:rFonts w:ascii="Times New Roman" w:hAnsi="Times New Roman" w:eastAsia="仿宋_GB2312"/>
              <w:sz w:val="24"/>
              <w:szCs w:val="24"/>
            </w:rPr>
            <w:tab/>
          </w:r>
          <w:r>
            <w:rPr>
              <w:rFonts w:ascii="Times New Roman" w:hAnsi="Times New Roman" w:eastAsia="仿宋_GB2312"/>
              <w:sz w:val="24"/>
              <w:szCs w:val="24"/>
            </w:rPr>
            <w:fldChar w:fldCharType="begin"/>
          </w:r>
          <w:r>
            <w:rPr>
              <w:rFonts w:ascii="Times New Roman" w:hAnsi="Times New Roman" w:eastAsia="仿宋_GB2312"/>
              <w:sz w:val="24"/>
              <w:szCs w:val="24"/>
            </w:rPr>
            <w:instrText xml:space="preserve"> PAGEREF _Toc123548269 \h </w:instrText>
          </w:r>
          <w:r>
            <w:rPr>
              <w:rFonts w:ascii="Times New Roman" w:hAnsi="Times New Roman" w:eastAsia="仿宋_GB2312"/>
              <w:sz w:val="24"/>
              <w:szCs w:val="24"/>
            </w:rPr>
            <w:fldChar w:fldCharType="separate"/>
          </w:r>
          <w:r>
            <w:rPr>
              <w:rFonts w:ascii="Times New Roman" w:hAnsi="Times New Roman" w:eastAsia="仿宋_GB2312"/>
              <w:sz w:val="24"/>
              <w:szCs w:val="24"/>
            </w:rPr>
            <w:t>6</w:t>
          </w:r>
          <w:r>
            <w:rPr>
              <w:rFonts w:ascii="Times New Roman" w:hAnsi="Times New Roman" w:eastAsia="仿宋_GB2312"/>
              <w:sz w:val="24"/>
              <w:szCs w:val="24"/>
            </w:rPr>
            <w:fldChar w:fldCharType="end"/>
          </w:r>
          <w:r>
            <w:rPr>
              <w:rFonts w:ascii="Times New Roman" w:hAnsi="Times New Roman" w:eastAsia="仿宋_GB2312"/>
              <w:sz w:val="24"/>
              <w:szCs w:val="24"/>
            </w:rPr>
            <w:fldChar w:fldCharType="end"/>
          </w:r>
        </w:p>
        <w:p>
          <w:pPr>
            <w:pStyle w:val="9"/>
            <w:rPr>
              <w:rFonts w:ascii="Times New Roman" w:hAnsi="Times New Roman" w:eastAsia="仿宋_GB2312"/>
              <w:b w:val="0"/>
              <w:bCs w:val="0"/>
              <w:kern w:val="2"/>
              <w:sz w:val="24"/>
              <w:szCs w:val="24"/>
            </w:rPr>
          </w:pPr>
          <w:r>
            <w:fldChar w:fldCharType="begin"/>
          </w:r>
          <w:r>
            <w:instrText xml:space="preserve"> HYPERLINK \l "_Toc123548270" </w:instrText>
          </w:r>
          <w:r>
            <w:fldChar w:fldCharType="separate"/>
          </w:r>
          <w:r>
            <w:rPr>
              <w:rStyle w:val="14"/>
              <w:rFonts w:ascii="Times New Roman" w:hAnsi="Times New Roman" w:eastAsia="仿宋_GB2312"/>
              <w:color w:val="auto"/>
              <w:sz w:val="24"/>
              <w:szCs w:val="24"/>
            </w:rPr>
            <w:t>第二章  指导思想、原则和目标</w:t>
          </w:r>
          <w:r>
            <w:rPr>
              <w:rFonts w:ascii="Times New Roman" w:hAnsi="Times New Roman" w:eastAsia="仿宋_GB2312"/>
              <w:sz w:val="24"/>
              <w:szCs w:val="24"/>
            </w:rPr>
            <w:tab/>
          </w:r>
          <w:r>
            <w:rPr>
              <w:rFonts w:ascii="Times New Roman" w:hAnsi="Times New Roman" w:eastAsia="仿宋_GB2312"/>
              <w:sz w:val="24"/>
              <w:szCs w:val="24"/>
            </w:rPr>
            <w:fldChar w:fldCharType="begin"/>
          </w:r>
          <w:r>
            <w:rPr>
              <w:rFonts w:ascii="Times New Roman" w:hAnsi="Times New Roman" w:eastAsia="仿宋_GB2312"/>
              <w:sz w:val="24"/>
              <w:szCs w:val="24"/>
            </w:rPr>
            <w:instrText xml:space="preserve"> PAGEREF _Toc123548270 \h </w:instrText>
          </w:r>
          <w:r>
            <w:rPr>
              <w:rFonts w:ascii="Times New Roman" w:hAnsi="Times New Roman" w:eastAsia="仿宋_GB2312"/>
              <w:sz w:val="24"/>
              <w:szCs w:val="24"/>
            </w:rPr>
            <w:fldChar w:fldCharType="separate"/>
          </w:r>
          <w:r>
            <w:rPr>
              <w:rFonts w:ascii="Times New Roman" w:hAnsi="Times New Roman" w:eastAsia="仿宋_GB2312"/>
              <w:sz w:val="24"/>
              <w:szCs w:val="24"/>
            </w:rPr>
            <w:t>9</w:t>
          </w:r>
          <w:r>
            <w:rPr>
              <w:rFonts w:ascii="Times New Roman" w:hAnsi="Times New Roman" w:eastAsia="仿宋_GB2312"/>
              <w:sz w:val="24"/>
              <w:szCs w:val="24"/>
            </w:rPr>
            <w:fldChar w:fldCharType="end"/>
          </w:r>
          <w:r>
            <w:rPr>
              <w:rFonts w:ascii="Times New Roman" w:hAnsi="Times New Roman" w:eastAsia="仿宋_GB2312"/>
              <w:sz w:val="24"/>
              <w:szCs w:val="24"/>
            </w:rPr>
            <w:fldChar w:fldCharType="end"/>
          </w:r>
        </w:p>
        <w:p>
          <w:pPr>
            <w:pStyle w:val="10"/>
            <w:tabs>
              <w:tab w:val="right" w:leader="dot" w:pos="8296"/>
            </w:tabs>
            <w:adjustRightInd w:val="0"/>
            <w:snapToGrid w:val="0"/>
            <w:rPr>
              <w:rFonts w:ascii="Times New Roman" w:hAnsi="Times New Roman" w:eastAsia="仿宋_GB2312"/>
              <w:kern w:val="2"/>
              <w:sz w:val="24"/>
              <w:szCs w:val="24"/>
            </w:rPr>
          </w:pPr>
          <w:r>
            <w:fldChar w:fldCharType="begin"/>
          </w:r>
          <w:r>
            <w:instrText xml:space="preserve"> HYPERLINK \l "_Toc123548271" </w:instrText>
          </w:r>
          <w:r>
            <w:fldChar w:fldCharType="separate"/>
          </w:r>
          <w:r>
            <w:rPr>
              <w:rStyle w:val="14"/>
              <w:rFonts w:ascii="Times New Roman" w:hAnsi="Times New Roman" w:eastAsia="仿宋_GB2312"/>
              <w:color w:val="auto"/>
              <w:sz w:val="24"/>
              <w:szCs w:val="24"/>
            </w:rPr>
            <w:t>第一节  指导思想</w:t>
          </w:r>
          <w:r>
            <w:rPr>
              <w:rFonts w:ascii="Times New Roman" w:hAnsi="Times New Roman" w:eastAsia="仿宋_GB2312"/>
              <w:sz w:val="24"/>
              <w:szCs w:val="24"/>
            </w:rPr>
            <w:tab/>
          </w:r>
          <w:r>
            <w:rPr>
              <w:rFonts w:ascii="Times New Roman" w:hAnsi="Times New Roman" w:eastAsia="仿宋_GB2312"/>
              <w:sz w:val="24"/>
              <w:szCs w:val="24"/>
            </w:rPr>
            <w:fldChar w:fldCharType="begin"/>
          </w:r>
          <w:r>
            <w:rPr>
              <w:rFonts w:ascii="Times New Roman" w:hAnsi="Times New Roman" w:eastAsia="仿宋_GB2312"/>
              <w:sz w:val="24"/>
              <w:szCs w:val="24"/>
            </w:rPr>
            <w:instrText xml:space="preserve"> PAGEREF _Toc123548271 \h </w:instrText>
          </w:r>
          <w:r>
            <w:rPr>
              <w:rFonts w:ascii="Times New Roman" w:hAnsi="Times New Roman" w:eastAsia="仿宋_GB2312"/>
              <w:sz w:val="24"/>
              <w:szCs w:val="24"/>
            </w:rPr>
            <w:fldChar w:fldCharType="separate"/>
          </w:r>
          <w:r>
            <w:rPr>
              <w:rFonts w:ascii="Times New Roman" w:hAnsi="Times New Roman" w:eastAsia="仿宋_GB2312"/>
              <w:sz w:val="24"/>
              <w:szCs w:val="24"/>
            </w:rPr>
            <w:t>9</w:t>
          </w:r>
          <w:r>
            <w:rPr>
              <w:rFonts w:ascii="Times New Roman" w:hAnsi="Times New Roman" w:eastAsia="仿宋_GB2312"/>
              <w:sz w:val="24"/>
              <w:szCs w:val="24"/>
            </w:rPr>
            <w:fldChar w:fldCharType="end"/>
          </w:r>
          <w:r>
            <w:rPr>
              <w:rFonts w:ascii="Times New Roman" w:hAnsi="Times New Roman" w:eastAsia="仿宋_GB2312"/>
              <w:sz w:val="24"/>
              <w:szCs w:val="24"/>
            </w:rPr>
            <w:fldChar w:fldCharType="end"/>
          </w:r>
        </w:p>
        <w:p>
          <w:pPr>
            <w:pStyle w:val="10"/>
            <w:tabs>
              <w:tab w:val="right" w:leader="dot" w:pos="8296"/>
            </w:tabs>
            <w:adjustRightInd w:val="0"/>
            <w:snapToGrid w:val="0"/>
            <w:rPr>
              <w:rFonts w:ascii="Times New Roman" w:hAnsi="Times New Roman" w:eastAsia="仿宋_GB2312"/>
              <w:kern w:val="2"/>
              <w:sz w:val="24"/>
              <w:szCs w:val="24"/>
            </w:rPr>
          </w:pPr>
          <w:r>
            <w:fldChar w:fldCharType="begin"/>
          </w:r>
          <w:r>
            <w:instrText xml:space="preserve"> HYPERLINK \l "_Toc123548272" </w:instrText>
          </w:r>
          <w:r>
            <w:fldChar w:fldCharType="separate"/>
          </w:r>
          <w:r>
            <w:rPr>
              <w:rStyle w:val="14"/>
              <w:rFonts w:ascii="Times New Roman" w:hAnsi="Times New Roman" w:eastAsia="仿宋_GB2312"/>
              <w:color w:val="auto"/>
              <w:sz w:val="24"/>
              <w:szCs w:val="24"/>
            </w:rPr>
            <w:t>第二节  基本原则</w:t>
          </w:r>
          <w:r>
            <w:rPr>
              <w:rFonts w:ascii="Times New Roman" w:hAnsi="Times New Roman" w:eastAsia="仿宋_GB2312"/>
              <w:sz w:val="24"/>
              <w:szCs w:val="24"/>
            </w:rPr>
            <w:tab/>
          </w:r>
          <w:r>
            <w:rPr>
              <w:rFonts w:ascii="Times New Roman" w:hAnsi="Times New Roman" w:eastAsia="仿宋_GB2312"/>
              <w:sz w:val="24"/>
              <w:szCs w:val="24"/>
            </w:rPr>
            <w:fldChar w:fldCharType="begin"/>
          </w:r>
          <w:r>
            <w:rPr>
              <w:rFonts w:ascii="Times New Roman" w:hAnsi="Times New Roman" w:eastAsia="仿宋_GB2312"/>
              <w:sz w:val="24"/>
              <w:szCs w:val="24"/>
            </w:rPr>
            <w:instrText xml:space="preserve"> PAGEREF _Toc123548272 \h </w:instrText>
          </w:r>
          <w:r>
            <w:rPr>
              <w:rFonts w:ascii="Times New Roman" w:hAnsi="Times New Roman" w:eastAsia="仿宋_GB2312"/>
              <w:sz w:val="24"/>
              <w:szCs w:val="24"/>
            </w:rPr>
            <w:fldChar w:fldCharType="separate"/>
          </w:r>
          <w:r>
            <w:rPr>
              <w:rFonts w:ascii="Times New Roman" w:hAnsi="Times New Roman" w:eastAsia="仿宋_GB2312"/>
              <w:sz w:val="24"/>
              <w:szCs w:val="24"/>
            </w:rPr>
            <w:t>10</w:t>
          </w:r>
          <w:r>
            <w:rPr>
              <w:rFonts w:ascii="Times New Roman" w:hAnsi="Times New Roman" w:eastAsia="仿宋_GB2312"/>
              <w:sz w:val="24"/>
              <w:szCs w:val="24"/>
            </w:rPr>
            <w:fldChar w:fldCharType="end"/>
          </w:r>
          <w:r>
            <w:rPr>
              <w:rFonts w:ascii="Times New Roman" w:hAnsi="Times New Roman" w:eastAsia="仿宋_GB2312"/>
              <w:sz w:val="24"/>
              <w:szCs w:val="24"/>
            </w:rPr>
            <w:fldChar w:fldCharType="end"/>
          </w:r>
        </w:p>
        <w:p>
          <w:pPr>
            <w:pStyle w:val="10"/>
            <w:tabs>
              <w:tab w:val="right" w:leader="dot" w:pos="8296"/>
            </w:tabs>
            <w:adjustRightInd w:val="0"/>
            <w:snapToGrid w:val="0"/>
            <w:rPr>
              <w:rFonts w:ascii="Times New Roman" w:hAnsi="Times New Roman" w:eastAsia="仿宋_GB2312"/>
              <w:kern w:val="2"/>
              <w:sz w:val="24"/>
              <w:szCs w:val="24"/>
            </w:rPr>
          </w:pPr>
          <w:r>
            <w:fldChar w:fldCharType="begin"/>
          </w:r>
          <w:r>
            <w:instrText xml:space="preserve"> HYPERLINK \l "_Toc123548273" </w:instrText>
          </w:r>
          <w:r>
            <w:fldChar w:fldCharType="separate"/>
          </w:r>
          <w:r>
            <w:rPr>
              <w:rStyle w:val="14"/>
              <w:rFonts w:ascii="Times New Roman" w:hAnsi="Times New Roman" w:eastAsia="仿宋_GB2312"/>
              <w:color w:val="auto"/>
              <w:sz w:val="24"/>
              <w:szCs w:val="24"/>
            </w:rPr>
            <w:t>第三节  主要目标</w:t>
          </w:r>
          <w:r>
            <w:rPr>
              <w:rFonts w:ascii="Times New Roman" w:hAnsi="Times New Roman" w:eastAsia="仿宋_GB2312"/>
              <w:sz w:val="24"/>
              <w:szCs w:val="24"/>
            </w:rPr>
            <w:tab/>
          </w:r>
          <w:r>
            <w:rPr>
              <w:rFonts w:ascii="Times New Roman" w:hAnsi="Times New Roman" w:eastAsia="仿宋_GB2312"/>
              <w:sz w:val="24"/>
              <w:szCs w:val="24"/>
            </w:rPr>
            <w:fldChar w:fldCharType="begin"/>
          </w:r>
          <w:r>
            <w:rPr>
              <w:rFonts w:ascii="Times New Roman" w:hAnsi="Times New Roman" w:eastAsia="仿宋_GB2312"/>
              <w:sz w:val="24"/>
              <w:szCs w:val="24"/>
            </w:rPr>
            <w:instrText xml:space="preserve"> PAGEREF _Toc123548273 \h </w:instrText>
          </w:r>
          <w:r>
            <w:rPr>
              <w:rFonts w:ascii="Times New Roman" w:hAnsi="Times New Roman" w:eastAsia="仿宋_GB2312"/>
              <w:sz w:val="24"/>
              <w:szCs w:val="24"/>
            </w:rPr>
            <w:fldChar w:fldCharType="separate"/>
          </w:r>
          <w:r>
            <w:rPr>
              <w:rFonts w:ascii="Times New Roman" w:hAnsi="Times New Roman" w:eastAsia="仿宋_GB2312"/>
              <w:sz w:val="24"/>
              <w:szCs w:val="24"/>
            </w:rPr>
            <w:t>11</w:t>
          </w:r>
          <w:r>
            <w:rPr>
              <w:rFonts w:ascii="Times New Roman" w:hAnsi="Times New Roman" w:eastAsia="仿宋_GB2312"/>
              <w:sz w:val="24"/>
              <w:szCs w:val="24"/>
            </w:rPr>
            <w:fldChar w:fldCharType="end"/>
          </w:r>
          <w:r>
            <w:rPr>
              <w:rFonts w:ascii="Times New Roman" w:hAnsi="Times New Roman" w:eastAsia="仿宋_GB2312"/>
              <w:sz w:val="24"/>
              <w:szCs w:val="24"/>
            </w:rPr>
            <w:fldChar w:fldCharType="end"/>
          </w:r>
        </w:p>
        <w:p>
          <w:pPr>
            <w:pStyle w:val="9"/>
            <w:rPr>
              <w:rFonts w:ascii="Times New Roman" w:hAnsi="Times New Roman" w:eastAsia="仿宋_GB2312"/>
              <w:b w:val="0"/>
              <w:bCs w:val="0"/>
              <w:kern w:val="2"/>
              <w:sz w:val="24"/>
              <w:szCs w:val="24"/>
            </w:rPr>
          </w:pPr>
          <w:r>
            <w:fldChar w:fldCharType="begin"/>
          </w:r>
          <w:r>
            <w:instrText xml:space="preserve"> HYPERLINK \l "_Toc123548274" </w:instrText>
          </w:r>
          <w:r>
            <w:fldChar w:fldCharType="separate"/>
          </w:r>
          <w:r>
            <w:rPr>
              <w:rStyle w:val="14"/>
              <w:rFonts w:ascii="Times New Roman" w:hAnsi="Times New Roman" w:eastAsia="仿宋_GB2312"/>
              <w:color w:val="auto"/>
              <w:sz w:val="24"/>
              <w:szCs w:val="24"/>
            </w:rPr>
            <w:t>第三章  强化绿色源头防控，推动绿色低碳发展</w:t>
          </w:r>
          <w:r>
            <w:rPr>
              <w:rFonts w:ascii="Times New Roman" w:hAnsi="Times New Roman" w:eastAsia="仿宋_GB2312"/>
              <w:sz w:val="24"/>
              <w:szCs w:val="24"/>
            </w:rPr>
            <w:tab/>
          </w:r>
          <w:r>
            <w:rPr>
              <w:rFonts w:ascii="Times New Roman" w:hAnsi="Times New Roman" w:eastAsia="仿宋_GB2312"/>
              <w:sz w:val="24"/>
              <w:szCs w:val="24"/>
            </w:rPr>
            <w:fldChar w:fldCharType="begin"/>
          </w:r>
          <w:r>
            <w:rPr>
              <w:rFonts w:ascii="Times New Roman" w:hAnsi="Times New Roman" w:eastAsia="仿宋_GB2312"/>
              <w:sz w:val="24"/>
              <w:szCs w:val="24"/>
            </w:rPr>
            <w:instrText xml:space="preserve"> PAGEREF _Toc123548274 \h </w:instrText>
          </w:r>
          <w:r>
            <w:rPr>
              <w:rFonts w:ascii="Times New Roman" w:hAnsi="Times New Roman" w:eastAsia="仿宋_GB2312"/>
              <w:sz w:val="24"/>
              <w:szCs w:val="24"/>
            </w:rPr>
            <w:fldChar w:fldCharType="separate"/>
          </w:r>
          <w:r>
            <w:rPr>
              <w:rFonts w:ascii="Times New Roman" w:hAnsi="Times New Roman" w:eastAsia="仿宋_GB2312"/>
              <w:sz w:val="24"/>
              <w:szCs w:val="24"/>
            </w:rPr>
            <w:t>15</w:t>
          </w:r>
          <w:r>
            <w:rPr>
              <w:rFonts w:ascii="Times New Roman" w:hAnsi="Times New Roman" w:eastAsia="仿宋_GB2312"/>
              <w:sz w:val="24"/>
              <w:szCs w:val="24"/>
            </w:rPr>
            <w:fldChar w:fldCharType="end"/>
          </w:r>
          <w:r>
            <w:rPr>
              <w:rFonts w:ascii="Times New Roman" w:hAnsi="Times New Roman" w:eastAsia="仿宋_GB2312"/>
              <w:sz w:val="24"/>
              <w:szCs w:val="24"/>
            </w:rPr>
            <w:fldChar w:fldCharType="end"/>
          </w:r>
        </w:p>
        <w:p>
          <w:pPr>
            <w:pStyle w:val="10"/>
            <w:tabs>
              <w:tab w:val="right" w:leader="dot" w:pos="8296"/>
            </w:tabs>
            <w:adjustRightInd w:val="0"/>
            <w:snapToGrid w:val="0"/>
            <w:rPr>
              <w:rFonts w:ascii="Times New Roman" w:hAnsi="Times New Roman" w:eastAsia="仿宋_GB2312"/>
              <w:kern w:val="2"/>
              <w:sz w:val="24"/>
              <w:szCs w:val="24"/>
            </w:rPr>
          </w:pPr>
          <w:r>
            <w:fldChar w:fldCharType="begin"/>
          </w:r>
          <w:r>
            <w:instrText xml:space="preserve"> HYPERLINK \l "_Toc123548275" </w:instrText>
          </w:r>
          <w:r>
            <w:fldChar w:fldCharType="separate"/>
          </w:r>
          <w:r>
            <w:rPr>
              <w:rStyle w:val="14"/>
              <w:rFonts w:ascii="Times New Roman" w:hAnsi="Times New Roman" w:eastAsia="仿宋_GB2312"/>
              <w:color w:val="auto"/>
              <w:sz w:val="24"/>
              <w:szCs w:val="24"/>
            </w:rPr>
            <w:t>第一节  建立国土空间开发新格局</w:t>
          </w:r>
          <w:r>
            <w:rPr>
              <w:rFonts w:ascii="Times New Roman" w:hAnsi="Times New Roman" w:eastAsia="仿宋_GB2312"/>
              <w:sz w:val="24"/>
              <w:szCs w:val="24"/>
            </w:rPr>
            <w:tab/>
          </w:r>
          <w:r>
            <w:rPr>
              <w:rFonts w:ascii="Times New Roman" w:hAnsi="Times New Roman" w:eastAsia="仿宋_GB2312"/>
              <w:sz w:val="24"/>
              <w:szCs w:val="24"/>
            </w:rPr>
            <w:fldChar w:fldCharType="begin"/>
          </w:r>
          <w:r>
            <w:rPr>
              <w:rFonts w:ascii="Times New Roman" w:hAnsi="Times New Roman" w:eastAsia="仿宋_GB2312"/>
              <w:sz w:val="24"/>
              <w:szCs w:val="24"/>
            </w:rPr>
            <w:instrText xml:space="preserve"> PAGEREF _Toc123548275 \h </w:instrText>
          </w:r>
          <w:r>
            <w:rPr>
              <w:rFonts w:ascii="Times New Roman" w:hAnsi="Times New Roman" w:eastAsia="仿宋_GB2312"/>
              <w:sz w:val="24"/>
              <w:szCs w:val="24"/>
            </w:rPr>
            <w:fldChar w:fldCharType="separate"/>
          </w:r>
          <w:r>
            <w:rPr>
              <w:rFonts w:ascii="Times New Roman" w:hAnsi="Times New Roman" w:eastAsia="仿宋_GB2312"/>
              <w:sz w:val="24"/>
              <w:szCs w:val="24"/>
            </w:rPr>
            <w:t>15</w:t>
          </w:r>
          <w:r>
            <w:rPr>
              <w:rFonts w:ascii="Times New Roman" w:hAnsi="Times New Roman" w:eastAsia="仿宋_GB2312"/>
              <w:sz w:val="24"/>
              <w:szCs w:val="24"/>
            </w:rPr>
            <w:fldChar w:fldCharType="end"/>
          </w:r>
          <w:r>
            <w:rPr>
              <w:rFonts w:ascii="Times New Roman" w:hAnsi="Times New Roman" w:eastAsia="仿宋_GB2312"/>
              <w:sz w:val="24"/>
              <w:szCs w:val="24"/>
            </w:rPr>
            <w:fldChar w:fldCharType="end"/>
          </w:r>
        </w:p>
        <w:p>
          <w:pPr>
            <w:pStyle w:val="10"/>
            <w:tabs>
              <w:tab w:val="right" w:leader="dot" w:pos="8296"/>
            </w:tabs>
            <w:adjustRightInd w:val="0"/>
            <w:snapToGrid w:val="0"/>
            <w:rPr>
              <w:rFonts w:ascii="Times New Roman" w:hAnsi="Times New Roman" w:eastAsia="仿宋_GB2312"/>
              <w:kern w:val="2"/>
              <w:sz w:val="24"/>
              <w:szCs w:val="24"/>
            </w:rPr>
          </w:pPr>
          <w:r>
            <w:fldChar w:fldCharType="begin"/>
          </w:r>
          <w:r>
            <w:instrText xml:space="preserve"> HYPERLINK \l "_Toc123548276" </w:instrText>
          </w:r>
          <w:r>
            <w:fldChar w:fldCharType="separate"/>
          </w:r>
          <w:r>
            <w:rPr>
              <w:rStyle w:val="14"/>
              <w:rFonts w:ascii="Times New Roman" w:hAnsi="Times New Roman" w:eastAsia="仿宋_GB2312"/>
              <w:color w:val="auto"/>
              <w:sz w:val="24"/>
              <w:szCs w:val="24"/>
            </w:rPr>
            <w:t>第二节  大力发展绿色产业体系</w:t>
          </w:r>
          <w:r>
            <w:rPr>
              <w:rFonts w:ascii="Times New Roman" w:hAnsi="Times New Roman" w:eastAsia="仿宋_GB2312"/>
              <w:sz w:val="24"/>
              <w:szCs w:val="24"/>
            </w:rPr>
            <w:tab/>
          </w:r>
          <w:r>
            <w:rPr>
              <w:rFonts w:ascii="Times New Roman" w:hAnsi="Times New Roman" w:eastAsia="仿宋_GB2312"/>
              <w:sz w:val="24"/>
              <w:szCs w:val="24"/>
            </w:rPr>
            <w:fldChar w:fldCharType="begin"/>
          </w:r>
          <w:r>
            <w:rPr>
              <w:rFonts w:ascii="Times New Roman" w:hAnsi="Times New Roman" w:eastAsia="仿宋_GB2312"/>
              <w:sz w:val="24"/>
              <w:szCs w:val="24"/>
            </w:rPr>
            <w:instrText xml:space="preserve"> PAGEREF _Toc123548276 \h </w:instrText>
          </w:r>
          <w:r>
            <w:rPr>
              <w:rFonts w:ascii="Times New Roman" w:hAnsi="Times New Roman" w:eastAsia="仿宋_GB2312"/>
              <w:sz w:val="24"/>
              <w:szCs w:val="24"/>
            </w:rPr>
            <w:fldChar w:fldCharType="separate"/>
          </w:r>
          <w:r>
            <w:rPr>
              <w:rFonts w:ascii="Times New Roman" w:hAnsi="Times New Roman" w:eastAsia="仿宋_GB2312"/>
              <w:sz w:val="24"/>
              <w:szCs w:val="24"/>
            </w:rPr>
            <w:t>15</w:t>
          </w:r>
          <w:r>
            <w:rPr>
              <w:rFonts w:ascii="Times New Roman" w:hAnsi="Times New Roman" w:eastAsia="仿宋_GB2312"/>
              <w:sz w:val="24"/>
              <w:szCs w:val="24"/>
            </w:rPr>
            <w:fldChar w:fldCharType="end"/>
          </w:r>
          <w:r>
            <w:rPr>
              <w:rFonts w:ascii="Times New Roman" w:hAnsi="Times New Roman" w:eastAsia="仿宋_GB2312"/>
              <w:sz w:val="24"/>
              <w:szCs w:val="24"/>
            </w:rPr>
            <w:fldChar w:fldCharType="end"/>
          </w:r>
        </w:p>
        <w:p>
          <w:pPr>
            <w:pStyle w:val="10"/>
            <w:tabs>
              <w:tab w:val="right" w:leader="dot" w:pos="8296"/>
            </w:tabs>
            <w:adjustRightInd w:val="0"/>
            <w:snapToGrid w:val="0"/>
            <w:rPr>
              <w:rFonts w:ascii="Times New Roman" w:hAnsi="Times New Roman" w:eastAsia="仿宋_GB2312"/>
              <w:kern w:val="2"/>
              <w:sz w:val="24"/>
              <w:szCs w:val="24"/>
            </w:rPr>
          </w:pPr>
          <w:r>
            <w:fldChar w:fldCharType="begin"/>
          </w:r>
          <w:r>
            <w:instrText xml:space="preserve"> HYPERLINK \l "_Toc123548277" </w:instrText>
          </w:r>
          <w:r>
            <w:fldChar w:fldCharType="separate"/>
          </w:r>
          <w:r>
            <w:rPr>
              <w:rStyle w:val="14"/>
              <w:rFonts w:ascii="Times New Roman" w:hAnsi="Times New Roman" w:eastAsia="仿宋_GB2312"/>
              <w:color w:val="auto"/>
              <w:sz w:val="24"/>
              <w:szCs w:val="24"/>
            </w:rPr>
            <w:t>第三节  全面落实生态环境分区管控</w:t>
          </w:r>
          <w:r>
            <w:rPr>
              <w:rFonts w:ascii="Times New Roman" w:hAnsi="Times New Roman" w:eastAsia="仿宋_GB2312"/>
              <w:sz w:val="24"/>
              <w:szCs w:val="24"/>
            </w:rPr>
            <w:tab/>
          </w:r>
          <w:r>
            <w:rPr>
              <w:rFonts w:ascii="Times New Roman" w:hAnsi="Times New Roman" w:eastAsia="仿宋_GB2312"/>
              <w:sz w:val="24"/>
              <w:szCs w:val="24"/>
            </w:rPr>
            <w:fldChar w:fldCharType="begin"/>
          </w:r>
          <w:r>
            <w:rPr>
              <w:rFonts w:ascii="Times New Roman" w:hAnsi="Times New Roman" w:eastAsia="仿宋_GB2312"/>
              <w:sz w:val="24"/>
              <w:szCs w:val="24"/>
            </w:rPr>
            <w:instrText xml:space="preserve"> PAGEREF _Toc123548277 \h </w:instrText>
          </w:r>
          <w:r>
            <w:rPr>
              <w:rFonts w:ascii="Times New Roman" w:hAnsi="Times New Roman" w:eastAsia="仿宋_GB2312"/>
              <w:sz w:val="24"/>
              <w:szCs w:val="24"/>
            </w:rPr>
            <w:fldChar w:fldCharType="separate"/>
          </w:r>
          <w:r>
            <w:rPr>
              <w:rFonts w:ascii="Times New Roman" w:hAnsi="Times New Roman" w:eastAsia="仿宋_GB2312"/>
              <w:sz w:val="24"/>
              <w:szCs w:val="24"/>
            </w:rPr>
            <w:t>16</w:t>
          </w:r>
          <w:r>
            <w:rPr>
              <w:rFonts w:ascii="Times New Roman" w:hAnsi="Times New Roman" w:eastAsia="仿宋_GB2312"/>
              <w:sz w:val="24"/>
              <w:szCs w:val="24"/>
            </w:rPr>
            <w:fldChar w:fldCharType="end"/>
          </w:r>
          <w:r>
            <w:rPr>
              <w:rFonts w:ascii="Times New Roman" w:hAnsi="Times New Roman" w:eastAsia="仿宋_GB2312"/>
              <w:sz w:val="24"/>
              <w:szCs w:val="24"/>
            </w:rPr>
            <w:fldChar w:fldCharType="end"/>
          </w:r>
        </w:p>
        <w:p>
          <w:pPr>
            <w:pStyle w:val="10"/>
            <w:tabs>
              <w:tab w:val="right" w:leader="dot" w:pos="8296"/>
            </w:tabs>
            <w:adjustRightInd w:val="0"/>
            <w:snapToGrid w:val="0"/>
            <w:rPr>
              <w:rFonts w:ascii="Times New Roman" w:hAnsi="Times New Roman" w:eastAsia="仿宋_GB2312"/>
              <w:kern w:val="2"/>
              <w:sz w:val="24"/>
              <w:szCs w:val="24"/>
            </w:rPr>
          </w:pPr>
          <w:r>
            <w:fldChar w:fldCharType="begin"/>
          </w:r>
          <w:r>
            <w:instrText xml:space="preserve"> HYPERLINK \l "_Toc123548278" </w:instrText>
          </w:r>
          <w:r>
            <w:fldChar w:fldCharType="separate"/>
          </w:r>
          <w:r>
            <w:rPr>
              <w:rStyle w:val="14"/>
              <w:rFonts w:ascii="Times New Roman" w:hAnsi="Times New Roman" w:eastAsia="仿宋_GB2312"/>
              <w:color w:val="auto"/>
              <w:sz w:val="24"/>
              <w:szCs w:val="24"/>
            </w:rPr>
            <w:t>第四节  加快产业结构升级</w:t>
          </w:r>
          <w:r>
            <w:rPr>
              <w:rFonts w:ascii="Times New Roman" w:hAnsi="Times New Roman" w:eastAsia="仿宋_GB2312"/>
              <w:sz w:val="24"/>
              <w:szCs w:val="24"/>
            </w:rPr>
            <w:tab/>
          </w:r>
          <w:r>
            <w:rPr>
              <w:rFonts w:ascii="Times New Roman" w:hAnsi="Times New Roman" w:eastAsia="仿宋_GB2312"/>
              <w:sz w:val="24"/>
              <w:szCs w:val="24"/>
            </w:rPr>
            <w:fldChar w:fldCharType="begin"/>
          </w:r>
          <w:r>
            <w:rPr>
              <w:rFonts w:ascii="Times New Roman" w:hAnsi="Times New Roman" w:eastAsia="仿宋_GB2312"/>
              <w:sz w:val="24"/>
              <w:szCs w:val="24"/>
            </w:rPr>
            <w:instrText xml:space="preserve"> PAGEREF _Toc123548278 \h </w:instrText>
          </w:r>
          <w:r>
            <w:rPr>
              <w:rFonts w:ascii="Times New Roman" w:hAnsi="Times New Roman" w:eastAsia="仿宋_GB2312"/>
              <w:sz w:val="24"/>
              <w:szCs w:val="24"/>
            </w:rPr>
            <w:fldChar w:fldCharType="separate"/>
          </w:r>
          <w:r>
            <w:rPr>
              <w:rFonts w:ascii="Times New Roman" w:hAnsi="Times New Roman" w:eastAsia="仿宋_GB2312"/>
              <w:sz w:val="24"/>
              <w:szCs w:val="24"/>
            </w:rPr>
            <w:t>17</w:t>
          </w:r>
          <w:r>
            <w:rPr>
              <w:rFonts w:ascii="Times New Roman" w:hAnsi="Times New Roman" w:eastAsia="仿宋_GB2312"/>
              <w:sz w:val="24"/>
              <w:szCs w:val="24"/>
            </w:rPr>
            <w:fldChar w:fldCharType="end"/>
          </w:r>
          <w:r>
            <w:rPr>
              <w:rFonts w:ascii="Times New Roman" w:hAnsi="Times New Roman" w:eastAsia="仿宋_GB2312"/>
              <w:sz w:val="24"/>
              <w:szCs w:val="24"/>
            </w:rPr>
            <w:fldChar w:fldCharType="end"/>
          </w:r>
        </w:p>
        <w:p>
          <w:pPr>
            <w:pStyle w:val="10"/>
            <w:tabs>
              <w:tab w:val="right" w:leader="dot" w:pos="8296"/>
            </w:tabs>
            <w:adjustRightInd w:val="0"/>
            <w:snapToGrid w:val="0"/>
            <w:rPr>
              <w:rFonts w:ascii="Times New Roman" w:hAnsi="Times New Roman" w:eastAsia="仿宋_GB2312"/>
              <w:kern w:val="2"/>
              <w:sz w:val="24"/>
              <w:szCs w:val="24"/>
            </w:rPr>
          </w:pPr>
          <w:r>
            <w:fldChar w:fldCharType="begin"/>
          </w:r>
          <w:r>
            <w:instrText xml:space="preserve"> HYPERLINK \l "_Toc123548279" </w:instrText>
          </w:r>
          <w:r>
            <w:fldChar w:fldCharType="separate"/>
          </w:r>
          <w:r>
            <w:rPr>
              <w:rStyle w:val="14"/>
              <w:rFonts w:ascii="Times New Roman" w:hAnsi="Times New Roman" w:eastAsia="仿宋_GB2312"/>
              <w:color w:val="auto"/>
              <w:sz w:val="24"/>
              <w:szCs w:val="24"/>
            </w:rPr>
            <w:t>第五节  大力发展清洁能源</w:t>
          </w:r>
          <w:r>
            <w:rPr>
              <w:rFonts w:ascii="Times New Roman" w:hAnsi="Times New Roman" w:eastAsia="仿宋_GB2312"/>
              <w:sz w:val="24"/>
              <w:szCs w:val="24"/>
            </w:rPr>
            <w:tab/>
          </w:r>
          <w:r>
            <w:rPr>
              <w:rFonts w:ascii="Times New Roman" w:hAnsi="Times New Roman" w:eastAsia="仿宋_GB2312"/>
              <w:sz w:val="24"/>
              <w:szCs w:val="24"/>
            </w:rPr>
            <w:fldChar w:fldCharType="begin"/>
          </w:r>
          <w:r>
            <w:rPr>
              <w:rFonts w:ascii="Times New Roman" w:hAnsi="Times New Roman" w:eastAsia="仿宋_GB2312"/>
              <w:sz w:val="24"/>
              <w:szCs w:val="24"/>
            </w:rPr>
            <w:instrText xml:space="preserve"> PAGEREF _Toc123548279 \h </w:instrText>
          </w:r>
          <w:r>
            <w:rPr>
              <w:rFonts w:ascii="Times New Roman" w:hAnsi="Times New Roman" w:eastAsia="仿宋_GB2312"/>
              <w:sz w:val="24"/>
              <w:szCs w:val="24"/>
            </w:rPr>
            <w:fldChar w:fldCharType="separate"/>
          </w:r>
          <w:r>
            <w:rPr>
              <w:rFonts w:ascii="Times New Roman" w:hAnsi="Times New Roman" w:eastAsia="仿宋_GB2312"/>
              <w:sz w:val="24"/>
              <w:szCs w:val="24"/>
            </w:rPr>
            <w:t>18</w:t>
          </w:r>
          <w:r>
            <w:rPr>
              <w:rFonts w:ascii="Times New Roman" w:hAnsi="Times New Roman" w:eastAsia="仿宋_GB2312"/>
              <w:sz w:val="24"/>
              <w:szCs w:val="24"/>
            </w:rPr>
            <w:fldChar w:fldCharType="end"/>
          </w:r>
          <w:r>
            <w:rPr>
              <w:rFonts w:ascii="Times New Roman" w:hAnsi="Times New Roman" w:eastAsia="仿宋_GB2312"/>
              <w:sz w:val="24"/>
              <w:szCs w:val="24"/>
            </w:rPr>
            <w:fldChar w:fldCharType="end"/>
          </w:r>
        </w:p>
        <w:p>
          <w:pPr>
            <w:pStyle w:val="10"/>
            <w:tabs>
              <w:tab w:val="right" w:leader="dot" w:pos="8296"/>
            </w:tabs>
            <w:adjustRightInd w:val="0"/>
            <w:snapToGrid w:val="0"/>
            <w:rPr>
              <w:rFonts w:ascii="Times New Roman" w:hAnsi="Times New Roman" w:eastAsia="仿宋_GB2312"/>
              <w:kern w:val="2"/>
              <w:sz w:val="24"/>
              <w:szCs w:val="24"/>
            </w:rPr>
          </w:pPr>
          <w:r>
            <w:fldChar w:fldCharType="begin"/>
          </w:r>
          <w:r>
            <w:instrText xml:space="preserve"> HYPERLINK \l "_Toc123548280" </w:instrText>
          </w:r>
          <w:r>
            <w:fldChar w:fldCharType="separate"/>
          </w:r>
          <w:r>
            <w:rPr>
              <w:rStyle w:val="14"/>
              <w:rFonts w:ascii="Times New Roman" w:hAnsi="Times New Roman" w:eastAsia="仿宋_GB2312"/>
              <w:color w:val="auto"/>
              <w:sz w:val="24"/>
              <w:szCs w:val="24"/>
            </w:rPr>
            <w:t>第六节  构建绿色交通体系</w:t>
          </w:r>
          <w:r>
            <w:rPr>
              <w:rFonts w:ascii="Times New Roman" w:hAnsi="Times New Roman" w:eastAsia="仿宋_GB2312"/>
              <w:sz w:val="24"/>
              <w:szCs w:val="24"/>
            </w:rPr>
            <w:tab/>
          </w:r>
          <w:r>
            <w:rPr>
              <w:rFonts w:ascii="Times New Roman" w:hAnsi="Times New Roman" w:eastAsia="仿宋_GB2312"/>
              <w:sz w:val="24"/>
              <w:szCs w:val="24"/>
            </w:rPr>
            <w:fldChar w:fldCharType="begin"/>
          </w:r>
          <w:r>
            <w:rPr>
              <w:rFonts w:ascii="Times New Roman" w:hAnsi="Times New Roman" w:eastAsia="仿宋_GB2312"/>
              <w:sz w:val="24"/>
              <w:szCs w:val="24"/>
            </w:rPr>
            <w:instrText xml:space="preserve"> PAGEREF _Toc123548280 \h </w:instrText>
          </w:r>
          <w:r>
            <w:rPr>
              <w:rFonts w:ascii="Times New Roman" w:hAnsi="Times New Roman" w:eastAsia="仿宋_GB2312"/>
              <w:sz w:val="24"/>
              <w:szCs w:val="24"/>
            </w:rPr>
            <w:fldChar w:fldCharType="separate"/>
          </w:r>
          <w:r>
            <w:rPr>
              <w:rFonts w:ascii="Times New Roman" w:hAnsi="Times New Roman" w:eastAsia="仿宋_GB2312"/>
              <w:sz w:val="24"/>
              <w:szCs w:val="24"/>
            </w:rPr>
            <w:t>18</w:t>
          </w:r>
          <w:r>
            <w:rPr>
              <w:rFonts w:ascii="Times New Roman" w:hAnsi="Times New Roman" w:eastAsia="仿宋_GB2312"/>
              <w:sz w:val="24"/>
              <w:szCs w:val="24"/>
            </w:rPr>
            <w:fldChar w:fldCharType="end"/>
          </w:r>
          <w:r>
            <w:rPr>
              <w:rFonts w:ascii="Times New Roman" w:hAnsi="Times New Roman" w:eastAsia="仿宋_GB2312"/>
              <w:sz w:val="24"/>
              <w:szCs w:val="24"/>
            </w:rPr>
            <w:fldChar w:fldCharType="end"/>
          </w:r>
        </w:p>
        <w:p>
          <w:pPr>
            <w:pStyle w:val="10"/>
            <w:tabs>
              <w:tab w:val="right" w:leader="dot" w:pos="8296"/>
            </w:tabs>
            <w:adjustRightInd w:val="0"/>
            <w:snapToGrid w:val="0"/>
            <w:rPr>
              <w:rFonts w:ascii="Times New Roman" w:hAnsi="Times New Roman" w:eastAsia="仿宋_GB2312"/>
              <w:kern w:val="2"/>
              <w:sz w:val="24"/>
              <w:szCs w:val="24"/>
            </w:rPr>
          </w:pPr>
          <w:r>
            <w:fldChar w:fldCharType="begin"/>
          </w:r>
          <w:r>
            <w:instrText xml:space="preserve"> HYPERLINK \l "_Toc123548281" </w:instrText>
          </w:r>
          <w:r>
            <w:fldChar w:fldCharType="separate"/>
          </w:r>
          <w:r>
            <w:rPr>
              <w:rStyle w:val="14"/>
              <w:rFonts w:ascii="Times New Roman" w:hAnsi="Times New Roman" w:eastAsia="仿宋_GB2312"/>
              <w:color w:val="auto"/>
              <w:sz w:val="24"/>
              <w:szCs w:val="24"/>
            </w:rPr>
            <w:t>第七节  推行绿色低碳生活方式</w:t>
          </w:r>
          <w:r>
            <w:rPr>
              <w:rFonts w:ascii="Times New Roman" w:hAnsi="Times New Roman" w:eastAsia="仿宋_GB2312"/>
              <w:sz w:val="24"/>
              <w:szCs w:val="24"/>
            </w:rPr>
            <w:tab/>
          </w:r>
          <w:r>
            <w:rPr>
              <w:rFonts w:ascii="Times New Roman" w:hAnsi="Times New Roman" w:eastAsia="仿宋_GB2312"/>
              <w:sz w:val="24"/>
              <w:szCs w:val="24"/>
            </w:rPr>
            <w:fldChar w:fldCharType="begin"/>
          </w:r>
          <w:r>
            <w:rPr>
              <w:rFonts w:ascii="Times New Roman" w:hAnsi="Times New Roman" w:eastAsia="仿宋_GB2312"/>
              <w:sz w:val="24"/>
              <w:szCs w:val="24"/>
            </w:rPr>
            <w:instrText xml:space="preserve"> PAGEREF _Toc123548281 \h </w:instrText>
          </w:r>
          <w:r>
            <w:rPr>
              <w:rFonts w:ascii="Times New Roman" w:hAnsi="Times New Roman" w:eastAsia="仿宋_GB2312"/>
              <w:sz w:val="24"/>
              <w:szCs w:val="24"/>
            </w:rPr>
            <w:fldChar w:fldCharType="separate"/>
          </w:r>
          <w:r>
            <w:rPr>
              <w:rFonts w:ascii="Times New Roman" w:hAnsi="Times New Roman" w:eastAsia="仿宋_GB2312"/>
              <w:sz w:val="24"/>
              <w:szCs w:val="24"/>
            </w:rPr>
            <w:t>19</w:t>
          </w:r>
          <w:r>
            <w:rPr>
              <w:rFonts w:ascii="Times New Roman" w:hAnsi="Times New Roman" w:eastAsia="仿宋_GB2312"/>
              <w:sz w:val="24"/>
              <w:szCs w:val="24"/>
            </w:rPr>
            <w:fldChar w:fldCharType="end"/>
          </w:r>
          <w:r>
            <w:rPr>
              <w:rFonts w:ascii="Times New Roman" w:hAnsi="Times New Roman" w:eastAsia="仿宋_GB2312"/>
              <w:sz w:val="24"/>
              <w:szCs w:val="24"/>
            </w:rPr>
            <w:fldChar w:fldCharType="end"/>
          </w:r>
        </w:p>
        <w:p>
          <w:pPr>
            <w:pStyle w:val="9"/>
            <w:rPr>
              <w:rFonts w:ascii="Times New Roman" w:hAnsi="Times New Roman" w:eastAsia="仿宋_GB2312"/>
              <w:b w:val="0"/>
              <w:bCs w:val="0"/>
              <w:kern w:val="2"/>
              <w:sz w:val="24"/>
              <w:szCs w:val="24"/>
            </w:rPr>
          </w:pPr>
          <w:r>
            <w:fldChar w:fldCharType="begin"/>
          </w:r>
          <w:r>
            <w:instrText xml:space="preserve"> HYPERLINK \l "_Toc123548282" </w:instrText>
          </w:r>
          <w:r>
            <w:fldChar w:fldCharType="separate"/>
          </w:r>
          <w:r>
            <w:rPr>
              <w:rStyle w:val="14"/>
              <w:rFonts w:ascii="Times New Roman" w:hAnsi="Times New Roman" w:eastAsia="仿宋_GB2312"/>
              <w:color w:val="auto"/>
              <w:sz w:val="24"/>
              <w:szCs w:val="24"/>
            </w:rPr>
            <w:t>第四章  控制温室气体排放，积极应对气候变化</w:t>
          </w:r>
          <w:r>
            <w:rPr>
              <w:rFonts w:ascii="Times New Roman" w:hAnsi="Times New Roman" w:eastAsia="仿宋_GB2312"/>
              <w:sz w:val="24"/>
              <w:szCs w:val="24"/>
            </w:rPr>
            <w:tab/>
          </w:r>
          <w:r>
            <w:rPr>
              <w:rFonts w:ascii="Times New Roman" w:hAnsi="Times New Roman" w:eastAsia="仿宋_GB2312"/>
              <w:sz w:val="24"/>
              <w:szCs w:val="24"/>
            </w:rPr>
            <w:fldChar w:fldCharType="begin"/>
          </w:r>
          <w:r>
            <w:rPr>
              <w:rFonts w:ascii="Times New Roman" w:hAnsi="Times New Roman" w:eastAsia="仿宋_GB2312"/>
              <w:sz w:val="24"/>
              <w:szCs w:val="24"/>
            </w:rPr>
            <w:instrText xml:space="preserve"> PAGEREF _Toc123548282 \h </w:instrText>
          </w:r>
          <w:r>
            <w:rPr>
              <w:rFonts w:ascii="Times New Roman" w:hAnsi="Times New Roman" w:eastAsia="仿宋_GB2312"/>
              <w:sz w:val="24"/>
              <w:szCs w:val="24"/>
            </w:rPr>
            <w:fldChar w:fldCharType="separate"/>
          </w:r>
          <w:r>
            <w:rPr>
              <w:rFonts w:ascii="Times New Roman" w:hAnsi="Times New Roman" w:eastAsia="仿宋_GB2312"/>
              <w:sz w:val="24"/>
              <w:szCs w:val="24"/>
            </w:rPr>
            <w:t>21</w:t>
          </w:r>
          <w:r>
            <w:rPr>
              <w:rFonts w:ascii="Times New Roman" w:hAnsi="Times New Roman" w:eastAsia="仿宋_GB2312"/>
              <w:sz w:val="24"/>
              <w:szCs w:val="24"/>
            </w:rPr>
            <w:fldChar w:fldCharType="end"/>
          </w:r>
          <w:r>
            <w:rPr>
              <w:rFonts w:ascii="Times New Roman" w:hAnsi="Times New Roman" w:eastAsia="仿宋_GB2312"/>
              <w:sz w:val="24"/>
              <w:szCs w:val="24"/>
            </w:rPr>
            <w:fldChar w:fldCharType="end"/>
          </w:r>
        </w:p>
        <w:p>
          <w:pPr>
            <w:pStyle w:val="10"/>
            <w:tabs>
              <w:tab w:val="right" w:leader="dot" w:pos="8296"/>
            </w:tabs>
            <w:adjustRightInd w:val="0"/>
            <w:snapToGrid w:val="0"/>
            <w:rPr>
              <w:rFonts w:ascii="Times New Roman" w:hAnsi="Times New Roman" w:eastAsia="仿宋_GB2312"/>
              <w:kern w:val="2"/>
              <w:sz w:val="24"/>
              <w:szCs w:val="24"/>
            </w:rPr>
          </w:pPr>
          <w:r>
            <w:fldChar w:fldCharType="begin"/>
          </w:r>
          <w:r>
            <w:instrText xml:space="preserve"> HYPERLINK \l "_Toc123548283" </w:instrText>
          </w:r>
          <w:r>
            <w:fldChar w:fldCharType="separate"/>
          </w:r>
          <w:r>
            <w:rPr>
              <w:rStyle w:val="14"/>
              <w:rFonts w:ascii="Times New Roman" w:hAnsi="Times New Roman" w:eastAsia="仿宋_GB2312"/>
              <w:color w:val="auto"/>
              <w:sz w:val="24"/>
              <w:szCs w:val="24"/>
            </w:rPr>
            <w:t>第一节  开展碳排放达峰行动</w:t>
          </w:r>
          <w:r>
            <w:rPr>
              <w:rFonts w:ascii="Times New Roman" w:hAnsi="Times New Roman" w:eastAsia="仿宋_GB2312"/>
              <w:sz w:val="24"/>
              <w:szCs w:val="24"/>
            </w:rPr>
            <w:tab/>
          </w:r>
          <w:r>
            <w:rPr>
              <w:rFonts w:ascii="Times New Roman" w:hAnsi="Times New Roman" w:eastAsia="仿宋_GB2312"/>
              <w:sz w:val="24"/>
              <w:szCs w:val="24"/>
            </w:rPr>
            <w:fldChar w:fldCharType="begin"/>
          </w:r>
          <w:r>
            <w:rPr>
              <w:rFonts w:ascii="Times New Roman" w:hAnsi="Times New Roman" w:eastAsia="仿宋_GB2312"/>
              <w:sz w:val="24"/>
              <w:szCs w:val="24"/>
            </w:rPr>
            <w:instrText xml:space="preserve"> PAGEREF _Toc123548283 \h </w:instrText>
          </w:r>
          <w:r>
            <w:rPr>
              <w:rFonts w:ascii="Times New Roman" w:hAnsi="Times New Roman" w:eastAsia="仿宋_GB2312"/>
              <w:sz w:val="24"/>
              <w:szCs w:val="24"/>
            </w:rPr>
            <w:fldChar w:fldCharType="separate"/>
          </w:r>
          <w:r>
            <w:rPr>
              <w:rFonts w:ascii="Times New Roman" w:hAnsi="Times New Roman" w:eastAsia="仿宋_GB2312"/>
              <w:sz w:val="24"/>
              <w:szCs w:val="24"/>
            </w:rPr>
            <w:t>21</w:t>
          </w:r>
          <w:r>
            <w:rPr>
              <w:rFonts w:ascii="Times New Roman" w:hAnsi="Times New Roman" w:eastAsia="仿宋_GB2312"/>
              <w:sz w:val="24"/>
              <w:szCs w:val="24"/>
            </w:rPr>
            <w:fldChar w:fldCharType="end"/>
          </w:r>
          <w:r>
            <w:rPr>
              <w:rFonts w:ascii="Times New Roman" w:hAnsi="Times New Roman" w:eastAsia="仿宋_GB2312"/>
              <w:sz w:val="24"/>
              <w:szCs w:val="24"/>
            </w:rPr>
            <w:fldChar w:fldCharType="end"/>
          </w:r>
        </w:p>
        <w:p>
          <w:pPr>
            <w:pStyle w:val="10"/>
            <w:tabs>
              <w:tab w:val="right" w:leader="dot" w:pos="8296"/>
            </w:tabs>
            <w:adjustRightInd w:val="0"/>
            <w:snapToGrid w:val="0"/>
            <w:rPr>
              <w:rFonts w:ascii="Times New Roman" w:hAnsi="Times New Roman" w:eastAsia="仿宋_GB2312"/>
              <w:kern w:val="2"/>
              <w:sz w:val="24"/>
              <w:szCs w:val="24"/>
            </w:rPr>
          </w:pPr>
          <w:r>
            <w:fldChar w:fldCharType="begin"/>
          </w:r>
          <w:r>
            <w:instrText xml:space="preserve"> HYPERLINK \l "_Toc123548284" </w:instrText>
          </w:r>
          <w:r>
            <w:fldChar w:fldCharType="separate"/>
          </w:r>
          <w:r>
            <w:rPr>
              <w:rStyle w:val="14"/>
              <w:rFonts w:ascii="Times New Roman" w:hAnsi="Times New Roman" w:eastAsia="仿宋_GB2312"/>
              <w:color w:val="auto"/>
              <w:sz w:val="24"/>
              <w:szCs w:val="24"/>
            </w:rPr>
            <w:t>第二节  积极适应气候变化</w:t>
          </w:r>
          <w:r>
            <w:rPr>
              <w:rFonts w:ascii="Times New Roman" w:hAnsi="Times New Roman" w:eastAsia="仿宋_GB2312"/>
              <w:sz w:val="24"/>
              <w:szCs w:val="24"/>
            </w:rPr>
            <w:tab/>
          </w:r>
          <w:r>
            <w:rPr>
              <w:rFonts w:ascii="Times New Roman" w:hAnsi="Times New Roman" w:eastAsia="仿宋_GB2312"/>
              <w:sz w:val="24"/>
              <w:szCs w:val="24"/>
            </w:rPr>
            <w:fldChar w:fldCharType="begin"/>
          </w:r>
          <w:r>
            <w:rPr>
              <w:rFonts w:ascii="Times New Roman" w:hAnsi="Times New Roman" w:eastAsia="仿宋_GB2312"/>
              <w:sz w:val="24"/>
              <w:szCs w:val="24"/>
            </w:rPr>
            <w:instrText xml:space="preserve"> PAGEREF _Toc123548284 \h </w:instrText>
          </w:r>
          <w:r>
            <w:rPr>
              <w:rFonts w:ascii="Times New Roman" w:hAnsi="Times New Roman" w:eastAsia="仿宋_GB2312"/>
              <w:sz w:val="24"/>
              <w:szCs w:val="24"/>
            </w:rPr>
            <w:fldChar w:fldCharType="separate"/>
          </w:r>
          <w:r>
            <w:rPr>
              <w:rFonts w:ascii="Times New Roman" w:hAnsi="Times New Roman" w:eastAsia="仿宋_GB2312"/>
              <w:sz w:val="24"/>
              <w:szCs w:val="24"/>
            </w:rPr>
            <w:t>23</w:t>
          </w:r>
          <w:r>
            <w:rPr>
              <w:rFonts w:ascii="Times New Roman" w:hAnsi="Times New Roman" w:eastAsia="仿宋_GB2312"/>
              <w:sz w:val="24"/>
              <w:szCs w:val="24"/>
            </w:rPr>
            <w:fldChar w:fldCharType="end"/>
          </w:r>
          <w:r>
            <w:rPr>
              <w:rFonts w:ascii="Times New Roman" w:hAnsi="Times New Roman" w:eastAsia="仿宋_GB2312"/>
              <w:sz w:val="24"/>
              <w:szCs w:val="24"/>
            </w:rPr>
            <w:fldChar w:fldCharType="end"/>
          </w:r>
        </w:p>
        <w:p>
          <w:pPr>
            <w:pStyle w:val="10"/>
            <w:tabs>
              <w:tab w:val="right" w:leader="dot" w:pos="8296"/>
            </w:tabs>
            <w:adjustRightInd w:val="0"/>
            <w:snapToGrid w:val="0"/>
            <w:rPr>
              <w:rFonts w:ascii="Times New Roman" w:hAnsi="Times New Roman" w:eastAsia="仿宋_GB2312"/>
              <w:kern w:val="2"/>
              <w:sz w:val="24"/>
              <w:szCs w:val="24"/>
            </w:rPr>
          </w:pPr>
          <w:r>
            <w:fldChar w:fldCharType="begin"/>
          </w:r>
          <w:r>
            <w:instrText xml:space="preserve"> HYPERLINK \l "_Toc123548285" </w:instrText>
          </w:r>
          <w:r>
            <w:fldChar w:fldCharType="separate"/>
          </w:r>
          <w:r>
            <w:rPr>
              <w:rStyle w:val="14"/>
              <w:rFonts w:ascii="Times New Roman" w:hAnsi="Times New Roman" w:eastAsia="仿宋_GB2312"/>
              <w:color w:val="auto"/>
              <w:sz w:val="24"/>
              <w:szCs w:val="24"/>
            </w:rPr>
            <w:t>第三节  加强应对气候变化管理</w:t>
          </w:r>
          <w:r>
            <w:rPr>
              <w:rFonts w:ascii="Times New Roman" w:hAnsi="Times New Roman" w:eastAsia="仿宋_GB2312"/>
              <w:sz w:val="24"/>
              <w:szCs w:val="24"/>
            </w:rPr>
            <w:tab/>
          </w:r>
          <w:r>
            <w:rPr>
              <w:rFonts w:ascii="Times New Roman" w:hAnsi="Times New Roman" w:eastAsia="仿宋_GB2312"/>
              <w:sz w:val="24"/>
              <w:szCs w:val="24"/>
            </w:rPr>
            <w:fldChar w:fldCharType="begin"/>
          </w:r>
          <w:r>
            <w:rPr>
              <w:rFonts w:ascii="Times New Roman" w:hAnsi="Times New Roman" w:eastAsia="仿宋_GB2312"/>
              <w:sz w:val="24"/>
              <w:szCs w:val="24"/>
            </w:rPr>
            <w:instrText xml:space="preserve"> PAGEREF _Toc123548285 \h </w:instrText>
          </w:r>
          <w:r>
            <w:rPr>
              <w:rFonts w:ascii="Times New Roman" w:hAnsi="Times New Roman" w:eastAsia="仿宋_GB2312"/>
              <w:sz w:val="24"/>
              <w:szCs w:val="24"/>
            </w:rPr>
            <w:fldChar w:fldCharType="separate"/>
          </w:r>
          <w:r>
            <w:rPr>
              <w:rFonts w:ascii="Times New Roman" w:hAnsi="Times New Roman" w:eastAsia="仿宋_GB2312"/>
              <w:sz w:val="24"/>
              <w:szCs w:val="24"/>
            </w:rPr>
            <w:t>24</w:t>
          </w:r>
          <w:r>
            <w:rPr>
              <w:rFonts w:ascii="Times New Roman" w:hAnsi="Times New Roman" w:eastAsia="仿宋_GB2312"/>
              <w:sz w:val="24"/>
              <w:szCs w:val="24"/>
            </w:rPr>
            <w:fldChar w:fldCharType="end"/>
          </w:r>
          <w:r>
            <w:rPr>
              <w:rFonts w:ascii="Times New Roman" w:hAnsi="Times New Roman" w:eastAsia="仿宋_GB2312"/>
              <w:sz w:val="24"/>
              <w:szCs w:val="24"/>
            </w:rPr>
            <w:fldChar w:fldCharType="end"/>
          </w:r>
        </w:p>
        <w:p>
          <w:pPr>
            <w:pStyle w:val="9"/>
            <w:rPr>
              <w:rFonts w:ascii="Times New Roman" w:hAnsi="Times New Roman" w:eastAsia="仿宋_GB2312"/>
              <w:b w:val="0"/>
              <w:bCs w:val="0"/>
              <w:kern w:val="2"/>
              <w:sz w:val="24"/>
              <w:szCs w:val="24"/>
            </w:rPr>
          </w:pPr>
          <w:r>
            <w:fldChar w:fldCharType="begin"/>
          </w:r>
          <w:r>
            <w:instrText xml:space="preserve"> HYPERLINK \l "_Toc123548286" </w:instrText>
          </w:r>
          <w:r>
            <w:fldChar w:fldCharType="separate"/>
          </w:r>
          <w:r>
            <w:rPr>
              <w:rStyle w:val="14"/>
              <w:rFonts w:ascii="Times New Roman" w:hAnsi="Times New Roman" w:eastAsia="仿宋_GB2312"/>
              <w:color w:val="auto"/>
              <w:sz w:val="24"/>
              <w:szCs w:val="24"/>
            </w:rPr>
            <w:t>第五章  加强协同控制，持续改善大气环境</w:t>
          </w:r>
          <w:r>
            <w:rPr>
              <w:rFonts w:ascii="Times New Roman" w:hAnsi="Times New Roman" w:eastAsia="仿宋_GB2312"/>
              <w:sz w:val="24"/>
              <w:szCs w:val="24"/>
            </w:rPr>
            <w:tab/>
          </w:r>
          <w:r>
            <w:rPr>
              <w:rFonts w:ascii="Times New Roman" w:hAnsi="Times New Roman" w:eastAsia="仿宋_GB2312"/>
              <w:sz w:val="24"/>
              <w:szCs w:val="24"/>
            </w:rPr>
            <w:fldChar w:fldCharType="begin"/>
          </w:r>
          <w:r>
            <w:rPr>
              <w:rFonts w:ascii="Times New Roman" w:hAnsi="Times New Roman" w:eastAsia="仿宋_GB2312"/>
              <w:sz w:val="24"/>
              <w:szCs w:val="24"/>
            </w:rPr>
            <w:instrText xml:space="preserve"> PAGEREF _Toc123548286 \h </w:instrText>
          </w:r>
          <w:r>
            <w:rPr>
              <w:rFonts w:ascii="Times New Roman" w:hAnsi="Times New Roman" w:eastAsia="仿宋_GB2312"/>
              <w:sz w:val="24"/>
              <w:szCs w:val="24"/>
            </w:rPr>
            <w:fldChar w:fldCharType="separate"/>
          </w:r>
          <w:r>
            <w:rPr>
              <w:rFonts w:ascii="Times New Roman" w:hAnsi="Times New Roman" w:eastAsia="仿宋_GB2312"/>
              <w:sz w:val="24"/>
              <w:szCs w:val="24"/>
            </w:rPr>
            <w:t>25</w:t>
          </w:r>
          <w:r>
            <w:rPr>
              <w:rFonts w:ascii="Times New Roman" w:hAnsi="Times New Roman" w:eastAsia="仿宋_GB2312"/>
              <w:sz w:val="24"/>
              <w:szCs w:val="24"/>
            </w:rPr>
            <w:fldChar w:fldCharType="end"/>
          </w:r>
          <w:r>
            <w:rPr>
              <w:rFonts w:ascii="Times New Roman" w:hAnsi="Times New Roman" w:eastAsia="仿宋_GB2312"/>
              <w:sz w:val="24"/>
              <w:szCs w:val="24"/>
            </w:rPr>
            <w:fldChar w:fldCharType="end"/>
          </w:r>
        </w:p>
        <w:p>
          <w:pPr>
            <w:pStyle w:val="10"/>
            <w:tabs>
              <w:tab w:val="right" w:leader="dot" w:pos="8296"/>
            </w:tabs>
            <w:adjustRightInd w:val="0"/>
            <w:snapToGrid w:val="0"/>
            <w:rPr>
              <w:rFonts w:ascii="Times New Roman" w:hAnsi="Times New Roman" w:eastAsia="仿宋_GB2312"/>
              <w:kern w:val="2"/>
              <w:sz w:val="24"/>
              <w:szCs w:val="24"/>
            </w:rPr>
          </w:pPr>
          <w:r>
            <w:fldChar w:fldCharType="begin"/>
          </w:r>
          <w:r>
            <w:instrText xml:space="preserve"> HYPERLINK \l "_Toc123548287" </w:instrText>
          </w:r>
          <w:r>
            <w:fldChar w:fldCharType="separate"/>
          </w:r>
          <w:r>
            <w:rPr>
              <w:rStyle w:val="14"/>
              <w:rFonts w:ascii="Times New Roman" w:hAnsi="Times New Roman" w:eastAsia="仿宋_GB2312"/>
              <w:color w:val="auto"/>
              <w:sz w:val="24"/>
              <w:szCs w:val="24"/>
            </w:rPr>
            <w:t>第一节  开展多污染物协同控制</w:t>
          </w:r>
          <w:r>
            <w:rPr>
              <w:rFonts w:ascii="Times New Roman" w:hAnsi="Times New Roman" w:eastAsia="仿宋_GB2312"/>
              <w:sz w:val="24"/>
              <w:szCs w:val="24"/>
            </w:rPr>
            <w:tab/>
          </w:r>
          <w:r>
            <w:rPr>
              <w:rFonts w:ascii="Times New Roman" w:hAnsi="Times New Roman" w:eastAsia="仿宋_GB2312"/>
              <w:sz w:val="24"/>
              <w:szCs w:val="24"/>
            </w:rPr>
            <w:fldChar w:fldCharType="begin"/>
          </w:r>
          <w:r>
            <w:rPr>
              <w:rFonts w:ascii="Times New Roman" w:hAnsi="Times New Roman" w:eastAsia="仿宋_GB2312"/>
              <w:sz w:val="24"/>
              <w:szCs w:val="24"/>
            </w:rPr>
            <w:instrText xml:space="preserve"> PAGEREF _Toc123548287 \h </w:instrText>
          </w:r>
          <w:r>
            <w:rPr>
              <w:rFonts w:ascii="Times New Roman" w:hAnsi="Times New Roman" w:eastAsia="仿宋_GB2312"/>
              <w:sz w:val="24"/>
              <w:szCs w:val="24"/>
            </w:rPr>
            <w:fldChar w:fldCharType="separate"/>
          </w:r>
          <w:r>
            <w:rPr>
              <w:rFonts w:ascii="Times New Roman" w:hAnsi="Times New Roman" w:eastAsia="仿宋_GB2312"/>
              <w:sz w:val="24"/>
              <w:szCs w:val="24"/>
            </w:rPr>
            <w:t>25</w:t>
          </w:r>
          <w:r>
            <w:rPr>
              <w:rFonts w:ascii="Times New Roman" w:hAnsi="Times New Roman" w:eastAsia="仿宋_GB2312"/>
              <w:sz w:val="24"/>
              <w:szCs w:val="24"/>
            </w:rPr>
            <w:fldChar w:fldCharType="end"/>
          </w:r>
          <w:r>
            <w:rPr>
              <w:rFonts w:ascii="Times New Roman" w:hAnsi="Times New Roman" w:eastAsia="仿宋_GB2312"/>
              <w:sz w:val="24"/>
              <w:szCs w:val="24"/>
            </w:rPr>
            <w:fldChar w:fldCharType="end"/>
          </w:r>
        </w:p>
        <w:p>
          <w:pPr>
            <w:pStyle w:val="10"/>
            <w:tabs>
              <w:tab w:val="right" w:leader="dot" w:pos="8296"/>
            </w:tabs>
            <w:adjustRightInd w:val="0"/>
            <w:snapToGrid w:val="0"/>
            <w:rPr>
              <w:rFonts w:ascii="Times New Roman" w:hAnsi="Times New Roman" w:eastAsia="仿宋_GB2312"/>
              <w:kern w:val="2"/>
              <w:sz w:val="24"/>
              <w:szCs w:val="24"/>
            </w:rPr>
          </w:pPr>
          <w:r>
            <w:fldChar w:fldCharType="begin"/>
          </w:r>
          <w:r>
            <w:instrText xml:space="preserve"> HYPERLINK \l "_Toc123548288" </w:instrText>
          </w:r>
          <w:r>
            <w:fldChar w:fldCharType="separate"/>
          </w:r>
          <w:r>
            <w:rPr>
              <w:rStyle w:val="14"/>
              <w:rFonts w:ascii="Times New Roman" w:hAnsi="Times New Roman" w:eastAsia="仿宋_GB2312"/>
              <w:color w:val="auto"/>
              <w:sz w:val="24"/>
              <w:szCs w:val="24"/>
            </w:rPr>
            <w:t>第二节  持续推进重点污染源治理</w:t>
          </w:r>
          <w:r>
            <w:rPr>
              <w:rFonts w:ascii="Times New Roman" w:hAnsi="Times New Roman" w:eastAsia="仿宋_GB2312"/>
              <w:sz w:val="24"/>
              <w:szCs w:val="24"/>
            </w:rPr>
            <w:tab/>
          </w:r>
          <w:r>
            <w:rPr>
              <w:rFonts w:ascii="Times New Roman" w:hAnsi="Times New Roman" w:eastAsia="仿宋_GB2312"/>
              <w:sz w:val="24"/>
              <w:szCs w:val="24"/>
            </w:rPr>
            <w:fldChar w:fldCharType="begin"/>
          </w:r>
          <w:r>
            <w:rPr>
              <w:rFonts w:ascii="Times New Roman" w:hAnsi="Times New Roman" w:eastAsia="仿宋_GB2312"/>
              <w:sz w:val="24"/>
              <w:szCs w:val="24"/>
            </w:rPr>
            <w:instrText xml:space="preserve"> PAGEREF _Toc123548288 \h </w:instrText>
          </w:r>
          <w:r>
            <w:rPr>
              <w:rFonts w:ascii="Times New Roman" w:hAnsi="Times New Roman" w:eastAsia="仿宋_GB2312"/>
              <w:sz w:val="24"/>
              <w:szCs w:val="24"/>
            </w:rPr>
            <w:fldChar w:fldCharType="separate"/>
          </w:r>
          <w:r>
            <w:rPr>
              <w:rFonts w:ascii="Times New Roman" w:hAnsi="Times New Roman" w:eastAsia="仿宋_GB2312"/>
              <w:sz w:val="24"/>
              <w:szCs w:val="24"/>
            </w:rPr>
            <w:t>26</w:t>
          </w:r>
          <w:r>
            <w:rPr>
              <w:rFonts w:ascii="Times New Roman" w:hAnsi="Times New Roman" w:eastAsia="仿宋_GB2312"/>
              <w:sz w:val="24"/>
              <w:szCs w:val="24"/>
            </w:rPr>
            <w:fldChar w:fldCharType="end"/>
          </w:r>
          <w:r>
            <w:rPr>
              <w:rFonts w:ascii="Times New Roman" w:hAnsi="Times New Roman" w:eastAsia="仿宋_GB2312"/>
              <w:sz w:val="24"/>
              <w:szCs w:val="24"/>
            </w:rPr>
            <w:fldChar w:fldCharType="end"/>
          </w:r>
        </w:p>
        <w:p>
          <w:pPr>
            <w:pStyle w:val="10"/>
            <w:tabs>
              <w:tab w:val="right" w:leader="dot" w:pos="8296"/>
            </w:tabs>
            <w:adjustRightInd w:val="0"/>
            <w:snapToGrid w:val="0"/>
            <w:rPr>
              <w:rFonts w:ascii="Times New Roman" w:hAnsi="Times New Roman" w:eastAsia="仿宋_GB2312"/>
              <w:kern w:val="2"/>
              <w:sz w:val="24"/>
              <w:szCs w:val="24"/>
            </w:rPr>
          </w:pPr>
          <w:r>
            <w:fldChar w:fldCharType="begin"/>
          </w:r>
          <w:r>
            <w:instrText xml:space="preserve"> HYPERLINK \l "_Toc123548289" </w:instrText>
          </w:r>
          <w:r>
            <w:fldChar w:fldCharType="separate"/>
          </w:r>
          <w:r>
            <w:rPr>
              <w:rStyle w:val="14"/>
              <w:rFonts w:ascii="Times New Roman" w:hAnsi="Times New Roman" w:eastAsia="仿宋_GB2312"/>
              <w:color w:val="auto"/>
              <w:sz w:val="24"/>
              <w:szCs w:val="24"/>
            </w:rPr>
            <w:t>第三节  加强重污染天气应急响应</w:t>
          </w:r>
          <w:r>
            <w:rPr>
              <w:rFonts w:ascii="Times New Roman" w:hAnsi="Times New Roman" w:eastAsia="仿宋_GB2312"/>
              <w:sz w:val="24"/>
              <w:szCs w:val="24"/>
            </w:rPr>
            <w:tab/>
          </w:r>
          <w:r>
            <w:rPr>
              <w:rFonts w:ascii="Times New Roman" w:hAnsi="Times New Roman" w:eastAsia="仿宋_GB2312"/>
              <w:sz w:val="24"/>
              <w:szCs w:val="24"/>
            </w:rPr>
            <w:fldChar w:fldCharType="begin"/>
          </w:r>
          <w:r>
            <w:rPr>
              <w:rFonts w:ascii="Times New Roman" w:hAnsi="Times New Roman" w:eastAsia="仿宋_GB2312"/>
              <w:sz w:val="24"/>
              <w:szCs w:val="24"/>
            </w:rPr>
            <w:instrText xml:space="preserve"> PAGEREF _Toc123548289 \h </w:instrText>
          </w:r>
          <w:r>
            <w:rPr>
              <w:rFonts w:ascii="Times New Roman" w:hAnsi="Times New Roman" w:eastAsia="仿宋_GB2312"/>
              <w:sz w:val="24"/>
              <w:szCs w:val="24"/>
            </w:rPr>
            <w:fldChar w:fldCharType="separate"/>
          </w:r>
          <w:r>
            <w:rPr>
              <w:rFonts w:ascii="Times New Roman" w:hAnsi="Times New Roman" w:eastAsia="仿宋_GB2312"/>
              <w:sz w:val="24"/>
              <w:szCs w:val="24"/>
            </w:rPr>
            <w:t>27</w:t>
          </w:r>
          <w:r>
            <w:rPr>
              <w:rFonts w:ascii="Times New Roman" w:hAnsi="Times New Roman" w:eastAsia="仿宋_GB2312"/>
              <w:sz w:val="24"/>
              <w:szCs w:val="24"/>
            </w:rPr>
            <w:fldChar w:fldCharType="end"/>
          </w:r>
          <w:r>
            <w:rPr>
              <w:rFonts w:ascii="Times New Roman" w:hAnsi="Times New Roman" w:eastAsia="仿宋_GB2312"/>
              <w:sz w:val="24"/>
              <w:szCs w:val="24"/>
            </w:rPr>
            <w:fldChar w:fldCharType="end"/>
          </w:r>
        </w:p>
        <w:p>
          <w:pPr>
            <w:pStyle w:val="10"/>
            <w:tabs>
              <w:tab w:val="right" w:leader="dot" w:pos="8296"/>
            </w:tabs>
            <w:adjustRightInd w:val="0"/>
            <w:snapToGrid w:val="0"/>
            <w:rPr>
              <w:rFonts w:ascii="Times New Roman" w:hAnsi="Times New Roman" w:eastAsia="仿宋_GB2312"/>
              <w:kern w:val="2"/>
              <w:sz w:val="24"/>
              <w:szCs w:val="24"/>
            </w:rPr>
          </w:pPr>
          <w:r>
            <w:fldChar w:fldCharType="begin"/>
          </w:r>
          <w:r>
            <w:instrText xml:space="preserve"> HYPERLINK \l "_Toc123548290" </w:instrText>
          </w:r>
          <w:r>
            <w:fldChar w:fldCharType="separate"/>
          </w:r>
          <w:r>
            <w:rPr>
              <w:rStyle w:val="14"/>
              <w:rFonts w:ascii="Times New Roman" w:hAnsi="Times New Roman" w:eastAsia="仿宋_GB2312"/>
              <w:color w:val="auto"/>
              <w:sz w:val="24"/>
              <w:szCs w:val="24"/>
            </w:rPr>
            <w:t>第四节  强化声环境质量管理</w:t>
          </w:r>
          <w:r>
            <w:rPr>
              <w:rFonts w:ascii="Times New Roman" w:hAnsi="Times New Roman" w:eastAsia="仿宋_GB2312"/>
              <w:sz w:val="24"/>
              <w:szCs w:val="24"/>
            </w:rPr>
            <w:tab/>
          </w:r>
          <w:r>
            <w:rPr>
              <w:rFonts w:ascii="Times New Roman" w:hAnsi="Times New Roman" w:eastAsia="仿宋_GB2312"/>
              <w:sz w:val="24"/>
              <w:szCs w:val="24"/>
            </w:rPr>
            <w:fldChar w:fldCharType="begin"/>
          </w:r>
          <w:r>
            <w:rPr>
              <w:rFonts w:ascii="Times New Roman" w:hAnsi="Times New Roman" w:eastAsia="仿宋_GB2312"/>
              <w:sz w:val="24"/>
              <w:szCs w:val="24"/>
            </w:rPr>
            <w:instrText xml:space="preserve"> PAGEREF _Toc123548290 \h </w:instrText>
          </w:r>
          <w:r>
            <w:rPr>
              <w:rFonts w:ascii="Times New Roman" w:hAnsi="Times New Roman" w:eastAsia="仿宋_GB2312"/>
              <w:sz w:val="24"/>
              <w:szCs w:val="24"/>
            </w:rPr>
            <w:fldChar w:fldCharType="separate"/>
          </w:r>
          <w:r>
            <w:rPr>
              <w:rFonts w:ascii="Times New Roman" w:hAnsi="Times New Roman" w:eastAsia="仿宋_GB2312"/>
              <w:sz w:val="24"/>
              <w:szCs w:val="24"/>
            </w:rPr>
            <w:t>28</w:t>
          </w:r>
          <w:r>
            <w:rPr>
              <w:rFonts w:ascii="Times New Roman" w:hAnsi="Times New Roman" w:eastAsia="仿宋_GB2312"/>
              <w:sz w:val="24"/>
              <w:szCs w:val="24"/>
            </w:rPr>
            <w:fldChar w:fldCharType="end"/>
          </w:r>
          <w:r>
            <w:rPr>
              <w:rFonts w:ascii="Times New Roman" w:hAnsi="Times New Roman" w:eastAsia="仿宋_GB2312"/>
              <w:sz w:val="24"/>
              <w:szCs w:val="24"/>
            </w:rPr>
            <w:fldChar w:fldCharType="end"/>
          </w:r>
        </w:p>
        <w:p>
          <w:pPr>
            <w:pStyle w:val="9"/>
            <w:rPr>
              <w:rFonts w:ascii="Times New Roman" w:hAnsi="Times New Roman" w:eastAsia="仿宋_GB2312"/>
              <w:b w:val="0"/>
              <w:bCs w:val="0"/>
              <w:kern w:val="2"/>
              <w:sz w:val="24"/>
              <w:szCs w:val="24"/>
            </w:rPr>
          </w:pPr>
          <w:r>
            <w:fldChar w:fldCharType="begin"/>
          </w:r>
          <w:r>
            <w:instrText xml:space="preserve"> HYPERLINK \l "_Toc123548291" </w:instrText>
          </w:r>
          <w:r>
            <w:fldChar w:fldCharType="separate"/>
          </w:r>
          <w:r>
            <w:rPr>
              <w:rStyle w:val="14"/>
              <w:rFonts w:ascii="Times New Roman" w:hAnsi="Times New Roman" w:eastAsia="仿宋_GB2312"/>
              <w:color w:val="auto"/>
              <w:sz w:val="24"/>
              <w:szCs w:val="24"/>
            </w:rPr>
            <w:t>第六章  强化统筹治理，深入推进水生态环境保护</w:t>
          </w:r>
          <w:r>
            <w:rPr>
              <w:rFonts w:ascii="Times New Roman" w:hAnsi="Times New Roman" w:eastAsia="仿宋_GB2312"/>
              <w:sz w:val="24"/>
              <w:szCs w:val="24"/>
            </w:rPr>
            <w:tab/>
          </w:r>
          <w:r>
            <w:rPr>
              <w:rFonts w:ascii="Times New Roman" w:hAnsi="Times New Roman" w:eastAsia="仿宋_GB2312"/>
              <w:sz w:val="24"/>
              <w:szCs w:val="24"/>
            </w:rPr>
            <w:fldChar w:fldCharType="begin"/>
          </w:r>
          <w:r>
            <w:rPr>
              <w:rFonts w:ascii="Times New Roman" w:hAnsi="Times New Roman" w:eastAsia="仿宋_GB2312"/>
              <w:sz w:val="24"/>
              <w:szCs w:val="24"/>
            </w:rPr>
            <w:instrText xml:space="preserve"> PAGEREF _Toc123548291 \h </w:instrText>
          </w:r>
          <w:r>
            <w:rPr>
              <w:rFonts w:ascii="Times New Roman" w:hAnsi="Times New Roman" w:eastAsia="仿宋_GB2312"/>
              <w:sz w:val="24"/>
              <w:szCs w:val="24"/>
            </w:rPr>
            <w:fldChar w:fldCharType="separate"/>
          </w:r>
          <w:r>
            <w:rPr>
              <w:rFonts w:ascii="Times New Roman" w:hAnsi="Times New Roman" w:eastAsia="仿宋_GB2312"/>
              <w:sz w:val="24"/>
              <w:szCs w:val="24"/>
            </w:rPr>
            <w:t>29</w:t>
          </w:r>
          <w:r>
            <w:rPr>
              <w:rFonts w:ascii="Times New Roman" w:hAnsi="Times New Roman" w:eastAsia="仿宋_GB2312"/>
              <w:sz w:val="24"/>
              <w:szCs w:val="24"/>
            </w:rPr>
            <w:fldChar w:fldCharType="end"/>
          </w:r>
          <w:r>
            <w:rPr>
              <w:rFonts w:ascii="Times New Roman" w:hAnsi="Times New Roman" w:eastAsia="仿宋_GB2312"/>
              <w:sz w:val="24"/>
              <w:szCs w:val="24"/>
            </w:rPr>
            <w:fldChar w:fldCharType="end"/>
          </w:r>
        </w:p>
        <w:p>
          <w:pPr>
            <w:pStyle w:val="10"/>
            <w:tabs>
              <w:tab w:val="right" w:leader="dot" w:pos="8296"/>
            </w:tabs>
            <w:adjustRightInd w:val="0"/>
            <w:snapToGrid w:val="0"/>
            <w:rPr>
              <w:rFonts w:ascii="Times New Roman" w:hAnsi="Times New Roman" w:eastAsia="仿宋_GB2312"/>
              <w:kern w:val="2"/>
              <w:sz w:val="24"/>
              <w:szCs w:val="24"/>
            </w:rPr>
          </w:pPr>
          <w:r>
            <w:fldChar w:fldCharType="begin"/>
          </w:r>
          <w:r>
            <w:instrText xml:space="preserve"> HYPERLINK \l "_Toc123548292" </w:instrText>
          </w:r>
          <w:r>
            <w:fldChar w:fldCharType="separate"/>
          </w:r>
          <w:r>
            <w:rPr>
              <w:rStyle w:val="14"/>
              <w:rFonts w:ascii="Times New Roman" w:hAnsi="Times New Roman" w:eastAsia="仿宋_GB2312"/>
              <w:color w:val="auto"/>
              <w:sz w:val="24"/>
              <w:szCs w:val="24"/>
            </w:rPr>
            <w:t>第一节  强化“三水”统筹管理</w:t>
          </w:r>
          <w:r>
            <w:rPr>
              <w:rFonts w:ascii="Times New Roman" w:hAnsi="Times New Roman" w:eastAsia="仿宋_GB2312"/>
              <w:sz w:val="24"/>
              <w:szCs w:val="24"/>
            </w:rPr>
            <w:tab/>
          </w:r>
          <w:r>
            <w:rPr>
              <w:rFonts w:ascii="Times New Roman" w:hAnsi="Times New Roman" w:eastAsia="仿宋_GB2312"/>
              <w:sz w:val="24"/>
              <w:szCs w:val="24"/>
            </w:rPr>
            <w:fldChar w:fldCharType="begin"/>
          </w:r>
          <w:r>
            <w:rPr>
              <w:rFonts w:ascii="Times New Roman" w:hAnsi="Times New Roman" w:eastAsia="仿宋_GB2312"/>
              <w:sz w:val="24"/>
              <w:szCs w:val="24"/>
            </w:rPr>
            <w:instrText xml:space="preserve"> PAGEREF _Toc123548292 \h </w:instrText>
          </w:r>
          <w:r>
            <w:rPr>
              <w:rFonts w:ascii="Times New Roman" w:hAnsi="Times New Roman" w:eastAsia="仿宋_GB2312"/>
              <w:sz w:val="24"/>
              <w:szCs w:val="24"/>
            </w:rPr>
            <w:fldChar w:fldCharType="separate"/>
          </w:r>
          <w:r>
            <w:rPr>
              <w:rFonts w:ascii="Times New Roman" w:hAnsi="Times New Roman" w:eastAsia="仿宋_GB2312"/>
              <w:sz w:val="24"/>
              <w:szCs w:val="24"/>
            </w:rPr>
            <w:t>29</w:t>
          </w:r>
          <w:r>
            <w:rPr>
              <w:rFonts w:ascii="Times New Roman" w:hAnsi="Times New Roman" w:eastAsia="仿宋_GB2312"/>
              <w:sz w:val="24"/>
              <w:szCs w:val="24"/>
            </w:rPr>
            <w:fldChar w:fldCharType="end"/>
          </w:r>
          <w:r>
            <w:rPr>
              <w:rFonts w:ascii="Times New Roman" w:hAnsi="Times New Roman" w:eastAsia="仿宋_GB2312"/>
              <w:sz w:val="24"/>
              <w:szCs w:val="24"/>
            </w:rPr>
            <w:fldChar w:fldCharType="end"/>
          </w:r>
        </w:p>
        <w:p>
          <w:pPr>
            <w:pStyle w:val="10"/>
            <w:tabs>
              <w:tab w:val="right" w:leader="dot" w:pos="8296"/>
            </w:tabs>
            <w:adjustRightInd w:val="0"/>
            <w:snapToGrid w:val="0"/>
            <w:rPr>
              <w:rFonts w:ascii="Times New Roman" w:hAnsi="Times New Roman" w:eastAsia="仿宋_GB2312"/>
              <w:kern w:val="2"/>
              <w:sz w:val="24"/>
              <w:szCs w:val="24"/>
            </w:rPr>
          </w:pPr>
          <w:r>
            <w:fldChar w:fldCharType="begin"/>
          </w:r>
          <w:r>
            <w:instrText xml:space="preserve"> HYPERLINK \l "_Toc123548293" </w:instrText>
          </w:r>
          <w:r>
            <w:fldChar w:fldCharType="separate"/>
          </w:r>
          <w:r>
            <w:rPr>
              <w:rStyle w:val="14"/>
              <w:rFonts w:ascii="Times New Roman" w:hAnsi="Times New Roman" w:eastAsia="仿宋_GB2312"/>
              <w:color w:val="auto"/>
              <w:sz w:val="24"/>
              <w:szCs w:val="24"/>
            </w:rPr>
            <w:t>第二节  提升水环境安全保障水平</w:t>
          </w:r>
          <w:r>
            <w:rPr>
              <w:rFonts w:ascii="Times New Roman" w:hAnsi="Times New Roman" w:eastAsia="仿宋_GB2312"/>
              <w:sz w:val="24"/>
              <w:szCs w:val="24"/>
            </w:rPr>
            <w:tab/>
          </w:r>
          <w:r>
            <w:rPr>
              <w:rFonts w:ascii="Times New Roman" w:hAnsi="Times New Roman" w:eastAsia="仿宋_GB2312"/>
              <w:sz w:val="24"/>
              <w:szCs w:val="24"/>
            </w:rPr>
            <w:fldChar w:fldCharType="begin"/>
          </w:r>
          <w:r>
            <w:rPr>
              <w:rFonts w:ascii="Times New Roman" w:hAnsi="Times New Roman" w:eastAsia="仿宋_GB2312"/>
              <w:sz w:val="24"/>
              <w:szCs w:val="24"/>
            </w:rPr>
            <w:instrText xml:space="preserve"> PAGEREF _Toc123548293 \h </w:instrText>
          </w:r>
          <w:r>
            <w:rPr>
              <w:rFonts w:ascii="Times New Roman" w:hAnsi="Times New Roman" w:eastAsia="仿宋_GB2312"/>
              <w:sz w:val="24"/>
              <w:szCs w:val="24"/>
            </w:rPr>
            <w:fldChar w:fldCharType="separate"/>
          </w:r>
          <w:r>
            <w:rPr>
              <w:rFonts w:ascii="Times New Roman" w:hAnsi="Times New Roman" w:eastAsia="仿宋_GB2312"/>
              <w:sz w:val="24"/>
              <w:szCs w:val="24"/>
            </w:rPr>
            <w:t>30</w:t>
          </w:r>
          <w:r>
            <w:rPr>
              <w:rFonts w:ascii="Times New Roman" w:hAnsi="Times New Roman" w:eastAsia="仿宋_GB2312"/>
              <w:sz w:val="24"/>
              <w:szCs w:val="24"/>
            </w:rPr>
            <w:fldChar w:fldCharType="end"/>
          </w:r>
          <w:r>
            <w:rPr>
              <w:rFonts w:ascii="Times New Roman" w:hAnsi="Times New Roman" w:eastAsia="仿宋_GB2312"/>
              <w:sz w:val="24"/>
              <w:szCs w:val="24"/>
            </w:rPr>
            <w:fldChar w:fldCharType="end"/>
          </w:r>
        </w:p>
        <w:p>
          <w:pPr>
            <w:pStyle w:val="10"/>
            <w:tabs>
              <w:tab w:val="right" w:leader="dot" w:pos="8296"/>
            </w:tabs>
            <w:adjustRightInd w:val="0"/>
            <w:snapToGrid w:val="0"/>
            <w:rPr>
              <w:rFonts w:ascii="Times New Roman" w:hAnsi="Times New Roman" w:eastAsia="仿宋_GB2312"/>
              <w:kern w:val="2"/>
              <w:sz w:val="24"/>
              <w:szCs w:val="24"/>
            </w:rPr>
          </w:pPr>
          <w:r>
            <w:fldChar w:fldCharType="begin"/>
          </w:r>
          <w:r>
            <w:instrText xml:space="preserve"> HYPERLINK \l "_Toc123548294" </w:instrText>
          </w:r>
          <w:r>
            <w:fldChar w:fldCharType="separate"/>
          </w:r>
          <w:r>
            <w:rPr>
              <w:rStyle w:val="14"/>
              <w:rFonts w:ascii="Times New Roman" w:hAnsi="Times New Roman" w:eastAsia="仿宋_GB2312"/>
              <w:color w:val="auto"/>
              <w:sz w:val="24"/>
              <w:szCs w:val="24"/>
            </w:rPr>
            <w:t>第三节  开展“美丽河湖”建设</w:t>
          </w:r>
          <w:r>
            <w:rPr>
              <w:rFonts w:ascii="Times New Roman" w:hAnsi="Times New Roman" w:eastAsia="仿宋_GB2312"/>
              <w:sz w:val="24"/>
              <w:szCs w:val="24"/>
            </w:rPr>
            <w:tab/>
          </w:r>
          <w:r>
            <w:rPr>
              <w:rFonts w:ascii="Times New Roman" w:hAnsi="Times New Roman" w:eastAsia="仿宋_GB2312"/>
              <w:sz w:val="24"/>
              <w:szCs w:val="24"/>
            </w:rPr>
            <w:fldChar w:fldCharType="begin"/>
          </w:r>
          <w:r>
            <w:rPr>
              <w:rFonts w:ascii="Times New Roman" w:hAnsi="Times New Roman" w:eastAsia="仿宋_GB2312"/>
              <w:sz w:val="24"/>
              <w:szCs w:val="24"/>
            </w:rPr>
            <w:instrText xml:space="preserve"> PAGEREF _Toc123548294 \h </w:instrText>
          </w:r>
          <w:r>
            <w:rPr>
              <w:rFonts w:ascii="Times New Roman" w:hAnsi="Times New Roman" w:eastAsia="仿宋_GB2312"/>
              <w:sz w:val="24"/>
              <w:szCs w:val="24"/>
            </w:rPr>
            <w:fldChar w:fldCharType="separate"/>
          </w:r>
          <w:r>
            <w:rPr>
              <w:rFonts w:ascii="Times New Roman" w:hAnsi="Times New Roman" w:eastAsia="仿宋_GB2312"/>
              <w:sz w:val="24"/>
              <w:szCs w:val="24"/>
            </w:rPr>
            <w:t>31</w:t>
          </w:r>
          <w:r>
            <w:rPr>
              <w:rFonts w:ascii="Times New Roman" w:hAnsi="Times New Roman" w:eastAsia="仿宋_GB2312"/>
              <w:sz w:val="24"/>
              <w:szCs w:val="24"/>
            </w:rPr>
            <w:fldChar w:fldCharType="end"/>
          </w:r>
          <w:r>
            <w:rPr>
              <w:rFonts w:ascii="Times New Roman" w:hAnsi="Times New Roman" w:eastAsia="仿宋_GB2312"/>
              <w:sz w:val="24"/>
              <w:szCs w:val="24"/>
            </w:rPr>
            <w:fldChar w:fldCharType="end"/>
          </w:r>
        </w:p>
        <w:p>
          <w:pPr>
            <w:pStyle w:val="10"/>
            <w:tabs>
              <w:tab w:val="right" w:leader="dot" w:pos="8296"/>
            </w:tabs>
            <w:adjustRightInd w:val="0"/>
            <w:snapToGrid w:val="0"/>
            <w:rPr>
              <w:rFonts w:ascii="Times New Roman" w:hAnsi="Times New Roman" w:eastAsia="仿宋_GB2312"/>
              <w:kern w:val="2"/>
              <w:sz w:val="24"/>
              <w:szCs w:val="24"/>
            </w:rPr>
          </w:pPr>
          <w:r>
            <w:fldChar w:fldCharType="begin"/>
          </w:r>
          <w:r>
            <w:instrText xml:space="preserve"> HYPERLINK \l "_Toc123548295" </w:instrText>
          </w:r>
          <w:r>
            <w:fldChar w:fldCharType="separate"/>
          </w:r>
          <w:r>
            <w:rPr>
              <w:rStyle w:val="14"/>
              <w:rFonts w:ascii="Times New Roman" w:hAnsi="Times New Roman" w:eastAsia="仿宋_GB2312"/>
              <w:color w:val="auto"/>
              <w:sz w:val="24"/>
              <w:szCs w:val="24"/>
            </w:rPr>
            <w:t>第四节  深化“多源”同治</w:t>
          </w:r>
          <w:r>
            <w:rPr>
              <w:rFonts w:ascii="Times New Roman" w:hAnsi="Times New Roman" w:eastAsia="仿宋_GB2312"/>
              <w:sz w:val="24"/>
              <w:szCs w:val="24"/>
            </w:rPr>
            <w:tab/>
          </w:r>
          <w:r>
            <w:rPr>
              <w:rFonts w:ascii="Times New Roman" w:hAnsi="Times New Roman" w:eastAsia="仿宋_GB2312"/>
              <w:sz w:val="24"/>
              <w:szCs w:val="24"/>
            </w:rPr>
            <w:fldChar w:fldCharType="begin"/>
          </w:r>
          <w:r>
            <w:rPr>
              <w:rFonts w:ascii="Times New Roman" w:hAnsi="Times New Roman" w:eastAsia="仿宋_GB2312"/>
              <w:sz w:val="24"/>
              <w:szCs w:val="24"/>
            </w:rPr>
            <w:instrText xml:space="preserve"> PAGEREF _Toc123548295 \h </w:instrText>
          </w:r>
          <w:r>
            <w:rPr>
              <w:rFonts w:ascii="Times New Roman" w:hAnsi="Times New Roman" w:eastAsia="仿宋_GB2312"/>
              <w:sz w:val="24"/>
              <w:szCs w:val="24"/>
            </w:rPr>
            <w:fldChar w:fldCharType="separate"/>
          </w:r>
          <w:r>
            <w:rPr>
              <w:rFonts w:ascii="Times New Roman" w:hAnsi="Times New Roman" w:eastAsia="仿宋_GB2312"/>
              <w:sz w:val="24"/>
              <w:szCs w:val="24"/>
            </w:rPr>
            <w:t>31</w:t>
          </w:r>
          <w:r>
            <w:rPr>
              <w:rFonts w:ascii="Times New Roman" w:hAnsi="Times New Roman" w:eastAsia="仿宋_GB2312"/>
              <w:sz w:val="24"/>
              <w:szCs w:val="24"/>
            </w:rPr>
            <w:fldChar w:fldCharType="end"/>
          </w:r>
          <w:r>
            <w:rPr>
              <w:rFonts w:ascii="Times New Roman" w:hAnsi="Times New Roman" w:eastAsia="仿宋_GB2312"/>
              <w:sz w:val="24"/>
              <w:szCs w:val="24"/>
            </w:rPr>
            <w:fldChar w:fldCharType="end"/>
          </w:r>
        </w:p>
        <w:p>
          <w:pPr>
            <w:pStyle w:val="9"/>
            <w:rPr>
              <w:rFonts w:ascii="Times New Roman" w:hAnsi="Times New Roman" w:eastAsia="仿宋_GB2312"/>
              <w:b w:val="0"/>
              <w:bCs w:val="0"/>
              <w:kern w:val="2"/>
              <w:sz w:val="24"/>
              <w:szCs w:val="24"/>
            </w:rPr>
          </w:pPr>
          <w:r>
            <w:fldChar w:fldCharType="begin"/>
          </w:r>
          <w:r>
            <w:instrText xml:space="preserve"> HYPERLINK \l "_Toc123548296" </w:instrText>
          </w:r>
          <w:r>
            <w:fldChar w:fldCharType="separate"/>
          </w:r>
          <w:r>
            <w:rPr>
              <w:rStyle w:val="14"/>
              <w:rFonts w:ascii="Times New Roman" w:hAnsi="Times New Roman" w:eastAsia="仿宋_GB2312"/>
              <w:color w:val="auto"/>
              <w:sz w:val="24"/>
              <w:szCs w:val="24"/>
            </w:rPr>
            <w:t>第七章  加强系统防控，改善土壤环境治理</w:t>
          </w:r>
          <w:r>
            <w:rPr>
              <w:rFonts w:ascii="Times New Roman" w:hAnsi="Times New Roman" w:eastAsia="仿宋_GB2312"/>
              <w:sz w:val="24"/>
              <w:szCs w:val="24"/>
            </w:rPr>
            <w:tab/>
          </w:r>
          <w:r>
            <w:rPr>
              <w:rFonts w:ascii="Times New Roman" w:hAnsi="Times New Roman" w:eastAsia="仿宋_GB2312"/>
              <w:sz w:val="24"/>
              <w:szCs w:val="24"/>
            </w:rPr>
            <w:fldChar w:fldCharType="begin"/>
          </w:r>
          <w:r>
            <w:rPr>
              <w:rFonts w:ascii="Times New Roman" w:hAnsi="Times New Roman" w:eastAsia="仿宋_GB2312"/>
              <w:sz w:val="24"/>
              <w:szCs w:val="24"/>
            </w:rPr>
            <w:instrText xml:space="preserve"> PAGEREF _Toc123548296 \h </w:instrText>
          </w:r>
          <w:r>
            <w:rPr>
              <w:rFonts w:ascii="Times New Roman" w:hAnsi="Times New Roman" w:eastAsia="仿宋_GB2312"/>
              <w:sz w:val="24"/>
              <w:szCs w:val="24"/>
            </w:rPr>
            <w:fldChar w:fldCharType="separate"/>
          </w:r>
          <w:r>
            <w:rPr>
              <w:rFonts w:ascii="Times New Roman" w:hAnsi="Times New Roman" w:eastAsia="仿宋_GB2312"/>
              <w:sz w:val="24"/>
              <w:szCs w:val="24"/>
            </w:rPr>
            <w:t>33</w:t>
          </w:r>
          <w:r>
            <w:rPr>
              <w:rFonts w:ascii="Times New Roman" w:hAnsi="Times New Roman" w:eastAsia="仿宋_GB2312"/>
              <w:sz w:val="24"/>
              <w:szCs w:val="24"/>
            </w:rPr>
            <w:fldChar w:fldCharType="end"/>
          </w:r>
          <w:r>
            <w:rPr>
              <w:rFonts w:ascii="Times New Roman" w:hAnsi="Times New Roman" w:eastAsia="仿宋_GB2312"/>
              <w:sz w:val="24"/>
              <w:szCs w:val="24"/>
            </w:rPr>
            <w:fldChar w:fldCharType="end"/>
          </w:r>
        </w:p>
        <w:p>
          <w:pPr>
            <w:pStyle w:val="10"/>
            <w:tabs>
              <w:tab w:val="right" w:leader="dot" w:pos="8296"/>
            </w:tabs>
            <w:adjustRightInd w:val="0"/>
            <w:snapToGrid w:val="0"/>
            <w:rPr>
              <w:rFonts w:ascii="Times New Roman" w:hAnsi="Times New Roman" w:eastAsia="仿宋_GB2312"/>
              <w:kern w:val="2"/>
              <w:sz w:val="24"/>
              <w:szCs w:val="24"/>
            </w:rPr>
          </w:pPr>
          <w:r>
            <w:fldChar w:fldCharType="begin"/>
          </w:r>
          <w:r>
            <w:instrText xml:space="preserve"> HYPERLINK \l "_Toc123548297" </w:instrText>
          </w:r>
          <w:r>
            <w:fldChar w:fldCharType="separate"/>
          </w:r>
          <w:r>
            <w:rPr>
              <w:rStyle w:val="14"/>
              <w:rFonts w:ascii="Times New Roman" w:hAnsi="Times New Roman" w:eastAsia="仿宋_GB2312"/>
              <w:color w:val="auto"/>
              <w:sz w:val="24"/>
              <w:szCs w:val="24"/>
            </w:rPr>
            <w:t>第一节  加强土壤生态环境保护</w:t>
          </w:r>
          <w:r>
            <w:rPr>
              <w:rFonts w:ascii="Times New Roman" w:hAnsi="Times New Roman" w:eastAsia="仿宋_GB2312"/>
              <w:sz w:val="24"/>
              <w:szCs w:val="24"/>
            </w:rPr>
            <w:tab/>
          </w:r>
          <w:r>
            <w:rPr>
              <w:rFonts w:ascii="Times New Roman" w:hAnsi="Times New Roman" w:eastAsia="仿宋_GB2312"/>
              <w:sz w:val="24"/>
              <w:szCs w:val="24"/>
            </w:rPr>
            <w:fldChar w:fldCharType="begin"/>
          </w:r>
          <w:r>
            <w:rPr>
              <w:rFonts w:ascii="Times New Roman" w:hAnsi="Times New Roman" w:eastAsia="仿宋_GB2312"/>
              <w:sz w:val="24"/>
              <w:szCs w:val="24"/>
            </w:rPr>
            <w:instrText xml:space="preserve"> PAGEREF _Toc123548297 \h </w:instrText>
          </w:r>
          <w:r>
            <w:rPr>
              <w:rFonts w:ascii="Times New Roman" w:hAnsi="Times New Roman" w:eastAsia="仿宋_GB2312"/>
              <w:sz w:val="24"/>
              <w:szCs w:val="24"/>
            </w:rPr>
            <w:fldChar w:fldCharType="separate"/>
          </w:r>
          <w:r>
            <w:rPr>
              <w:rFonts w:ascii="Times New Roman" w:hAnsi="Times New Roman" w:eastAsia="仿宋_GB2312"/>
              <w:sz w:val="24"/>
              <w:szCs w:val="24"/>
            </w:rPr>
            <w:t>33</w:t>
          </w:r>
          <w:r>
            <w:rPr>
              <w:rFonts w:ascii="Times New Roman" w:hAnsi="Times New Roman" w:eastAsia="仿宋_GB2312"/>
              <w:sz w:val="24"/>
              <w:szCs w:val="24"/>
            </w:rPr>
            <w:fldChar w:fldCharType="end"/>
          </w:r>
          <w:r>
            <w:rPr>
              <w:rFonts w:ascii="Times New Roman" w:hAnsi="Times New Roman" w:eastAsia="仿宋_GB2312"/>
              <w:sz w:val="24"/>
              <w:szCs w:val="24"/>
            </w:rPr>
            <w:fldChar w:fldCharType="end"/>
          </w:r>
        </w:p>
        <w:p>
          <w:pPr>
            <w:pStyle w:val="10"/>
            <w:tabs>
              <w:tab w:val="right" w:leader="dot" w:pos="8296"/>
            </w:tabs>
            <w:adjustRightInd w:val="0"/>
            <w:snapToGrid w:val="0"/>
            <w:rPr>
              <w:rFonts w:ascii="Times New Roman" w:hAnsi="Times New Roman" w:eastAsia="仿宋_GB2312"/>
              <w:kern w:val="2"/>
              <w:sz w:val="24"/>
              <w:szCs w:val="24"/>
            </w:rPr>
          </w:pPr>
          <w:r>
            <w:fldChar w:fldCharType="begin"/>
          </w:r>
          <w:r>
            <w:instrText xml:space="preserve"> HYPERLINK \l "_Toc123548298" </w:instrText>
          </w:r>
          <w:r>
            <w:fldChar w:fldCharType="separate"/>
          </w:r>
          <w:r>
            <w:rPr>
              <w:rStyle w:val="14"/>
              <w:rFonts w:ascii="Times New Roman" w:hAnsi="Times New Roman" w:eastAsia="仿宋_GB2312"/>
              <w:color w:val="auto"/>
              <w:sz w:val="24"/>
              <w:szCs w:val="24"/>
            </w:rPr>
            <w:t>第二节  推进地下水生态环境保护</w:t>
          </w:r>
          <w:r>
            <w:rPr>
              <w:rFonts w:ascii="Times New Roman" w:hAnsi="Times New Roman" w:eastAsia="仿宋_GB2312"/>
              <w:sz w:val="24"/>
              <w:szCs w:val="24"/>
            </w:rPr>
            <w:tab/>
          </w:r>
          <w:r>
            <w:rPr>
              <w:rFonts w:ascii="Times New Roman" w:hAnsi="Times New Roman" w:eastAsia="仿宋_GB2312"/>
              <w:sz w:val="24"/>
              <w:szCs w:val="24"/>
            </w:rPr>
            <w:fldChar w:fldCharType="begin"/>
          </w:r>
          <w:r>
            <w:rPr>
              <w:rFonts w:ascii="Times New Roman" w:hAnsi="Times New Roman" w:eastAsia="仿宋_GB2312"/>
              <w:sz w:val="24"/>
              <w:szCs w:val="24"/>
            </w:rPr>
            <w:instrText xml:space="preserve"> PAGEREF _Toc123548298 \h </w:instrText>
          </w:r>
          <w:r>
            <w:rPr>
              <w:rFonts w:ascii="Times New Roman" w:hAnsi="Times New Roman" w:eastAsia="仿宋_GB2312"/>
              <w:sz w:val="24"/>
              <w:szCs w:val="24"/>
            </w:rPr>
            <w:fldChar w:fldCharType="separate"/>
          </w:r>
          <w:r>
            <w:rPr>
              <w:rFonts w:ascii="Times New Roman" w:hAnsi="Times New Roman" w:eastAsia="仿宋_GB2312"/>
              <w:sz w:val="24"/>
              <w:szCs w:val="24"/>
            </w:rPr>
            <w:t>34</w:t>
          </w:r>
          <w:r>
            <w:rPr>
              <w:rFonts w:ascii="Times New Roman" w:hAnsi="Times New Roman" w:eastAsia="仿宋_GB2312"/>
              <w:sz w:val="24"/>
              <w:szCs w:val="24"/>
            </w:rPr>
            <w:fldChar w:fldCharType="end"/>
          </w:r>
          <w:r>
            <w:rPr>
              <w:rFonts w:ascii="Times New Roman" w:hAnsi="Times New Roman" w:eastAsia="仿宋_GB2312"/>
              <w:sz w:val="24"/>
              <w:szCs w:val="24"/>
            </w:rPr>
            <w:fldChar w:fldCharType="end"/>
          </w:r>
        </w:p>
        <w:p>
          <w:pPr>
            <w:pStyle w:val="9"/>
            <w:rPr>
              <w:rFonts w:ascii="Times New Roman" w:hAnsi="Times New Roman" w:eastAsia="仿宋_GB2312"/>
              <w:b w:val="0"/>
              <w:bCs w:val="0"/>
              <w:kern w:val="2"/>
              <w:sz w:val="24"/>
              <w:szCs w:val="24"/>
            </w:rPr>
          </w:pPr>
          <w:r>
            <w:fldChar w:fldCharType="begin"/>
          </w:r>
          <w:r>
            <w:instrText xml:space="preserve"> HYPERLINK \l "_Toc123548299" </w:instrText>
          </w:r>
          <w:r>
            <w:fldChar w:fldCharType="separate"/>
          </w:r>
          <w:r>
            <w:rPr>
              <w:rStyle w:val="14"/>
              <w:rFonts w:ascii="Times New Roman" w:hAnsi="Times New Roman" w:eastAsia="仿宋_GB2312"/>
              <w:color w:val="auto"/>
              <w:sz w:val="24"/>
              <w:szCs w:val="24"/>
            </w:rPr>
            <w:t>第八章  加强生态保护监管，筑牢北方生态安全屏障</w:t>
          </w:r>
          <w:r>
            <w:rPr>
              <w:rFonts w:ascii="Times New Roman" w:hAnsi="Times New Roman" w:eastAsia="仿宋_GB2312"/>
              <w:sz w:val="24"/>
              <w:szCs w:val="24"/>
            </w:rPr>
            <w:tab/>
          </w:r>
          <w:r>
            <w:rPr>
              <w:rFonts w:ascii="Times New Roman" w:hAnsi="Times New Roman" w:eastAsia="仿宋_GB2312"/>
              <w:sz w:val="24"/>
              <w:szCs w:val="24"/>
            </w:rPr>
            <w:fldChar w:fldCharType="begin"/>
          </w:r>
          <w:r>
            <w:rPr>
              <w:rFonts w:ascii="Times New Roman" w:hAnsi="Times New Roman" w:eastAsia="仿宋_GB2312"/>
              <w:sz w:val="24"/>
              <w:szCs w:val="24"/>
            </w:rPr>
            <w:instrText xml:space="preserve"> PAGEREF _Toc123548299 \h </w:instrText>
          </w:r>
          <w:r>
            <w:rPr>
              <w:rFonts w:ascii="Times New Roman" w:hAnsi="Times New Roman" w:eastAsia="仿宋_GB2312"/>
              <w:sz w:val="24"/>
              <w:szCs w:val="24"/>
            </w:rPr>
            <w:fldChar w:fldCharType="separate"/>
          </w:r>
          <w:r>
            <w:rPr>
              <w:rFonts w:ascii="Times New Roman" w:hAnsi="Times New Roman" w:eastAsia="仿宋_GB2312"/>
              <w:sz w:val="24"/>
              <w:szCs w:val="24"/>
            </w:rPr>
            <w:t>36</w:t>
          </w:r>
          <w:r>
            <w:rPr>
              <w:rFonts w:ascii="Times New Roman" w:hAnsi="Times New Roman" w:eastAsia="仿宋_GB2312"/>
              <w:sz w:val="24"/>
              <w:szCs w:val="24"/>
            </w:rPr>
            <w:fldChar w:fldCharType="end"/>
          </w:r>
          <w:r>
            <w:rPr>
              <w:rFonts w:ascii="Times New Roman" w:hAnsi="Times New Roman" w:eastAsia="仿宋_GB2312"/>
              <w:sz w:val="24"/>
              <w:szCs w:val="24"/>
            </w:rPr>
            <w:fldChar w:fldCharType="end"/>
          </w:r>
        </w:p>
        <w:p>
          <w:pPr>
            <w:pStyle w:val="10"/>
            <w:tabs>
              <w:tab w:val="right" w:leader="dot" w:pos="8296"/>
            </w:tabs>
            <w:adjustRightInd w:val="0"/>
            <w:snapToGrid w:val="0"/>
            <w:rPr>
              <w:rFonts w:ascii="Times New Roman" w:hAnsi="Times New Roman" w:eastAsia="仿宋_GB2312"/>
              <w:kern w:val="2"/>
              <w:sz w:val="24"/>
              <w:szCs w:val="24"/>
            </w:rPr>
          </w:pPr>
          <w:r>
            <w:fldChar w:fldCharType="begin"/>
          </w:r>
          <w:r>
            <w:instrText xml:space="preserve"> HYPERLINK \l "_Toc123548300" </w:instrText>
          </w:r>
          <w:r>
            <w:fldChar w:fldCharType="separate"/>
          </w:r>
          <w:r>
            <w:rPr>
              <w:rStyle w:val="14"/>
              <w:rFonts w:ascii="Times New Roman" w:hAnsi="Times New Roman" w:eastAsia="仿宋_GB2312"/>
              <w:color w:val="auto"/>
              <w:sz w:val="24"/>
              <w:szCs w:val="24"/>
            </w:rPr>
            <w:t>第一节  加强自然保护地和生态保护红线监管</w:t>
          </w:r>
          <w:r>
            <w:rPr>
              <w:rFonts w:ascii="Times New Roman" w:hAnsi="Times New Roman" w:eastAsia="仿宋_GB2312"/>
              <w:sz w:val="24"/>
              <w:szCs w:val="24"/>
            </w:rPr>
            <w:tab/>
          </w:r>
          <w:r>
            <w:rPr>
              <w:rFonts w:ascii="Times New Roman" w:hAnsi="Times New Roman" w:eastAsia="仿宋_GB2312"/>
              <w:sz w:val="24"/>
              <w:szCs w:val="24"/>
            </w:rPr>
            <w:fldChar w:fldCharType="begin"/>
          </w:r>
          <w:r>
            <w:rPr>
              <w:rFonts w:ascii="Times New Roman" w:hAnsi="Times New Roman" w:eastAsia="仿宋_GB2312"/>
              <w:sz w:val="24"/>
              <w:szCs w:val="24"/>
            </w:rPr>
            <w:instrText xml:space="preserve"> PAGEREF _Toc123548300 \h </w:instrText>
          </w:r>
          <w:r>
            <w:rPr>
              <w:rFonts w:ascii="Times New Roman" w:hAnsi="Times New Roman" w:eastAsia="仿宋_GB2312"/>
              <w:sz w:val="24"/>
              <w:szCs w:val="24"/>
            </w:rPr>
            <w:fldChar w:fldCharType="separate"/>
          </w:r>
          <w:r>
            <w:rPr>
              <w:rFonts w:ascii="Times New Roman" w:hAnsi="Times New Roman" w:eastAsia="仿宋_GB2312"/>
              <w:sz w:val="24"/>
              <w:szCs w:val="24"/>
            </w:rPr>
            <w:t>36</w:t>
          </w:r>
          <w:r>
            <w:rPr>
              <w:rFonts w:ascii="Times New Roman" w:hAnsi="Times New Roman" w:eastAsia="仿宋_GB2312"/>
              <w:sz w:val="24"/>
              <w:szCs w:val="24"/>
            </w:rPr>
            <w:fldChar w:fldCharType="end"/>
          </w:r>
          <w:r>
            <w:rPr>
              <w:rFonts w:ascii="Times New Roman" w:hAnsi="Times New Roman" w:eastAsia="仿宋_GB2312"/>
              <w:sz w:val="24"/>
              <w:szCs w:val="24"/>
            </w:rPr>
            <w:fldChar w:fldCharType="end"/>
          </w:r>
        </w:p>
        <w:p>
          <w:pPr>
            <w:pStyle w:val="10"/>
            <w:tabs>
              <w:tab w:val="right" w:leader="dot" w:pos="8296"/>
            </w:tabs>
            <w:adjustRightInd w:val="0"/>
            <w:snapToGrid w:val="0"/>
            <w:rPr>
              <w:rFonts w:ascii="Times New Roman" w:hAnsi="Times New Roman" w:eastAsia="仿宋_GB2312"/>
              <w:kern w:val="2"/>
              <w:sz w:val="24"/>
              <w:szCs w:val="24"/>
            </w:rPr>
          </w:pPr>
          <w:r>
            <w:fldChar w:fldCharType="begin"/>
          </w:r>
          <w:r>
            <w:instrText xml:space="preserve"> HYPERLINK \l "_Toc123548301" </w:instrText>
          </w:r>
          <w:r>
            <w:fldChar w:fldCharType="separate"/>
          </w:r>
          <w:r>
            <w:rPr>
              <w:rStyle w:val="14"/>
              <w:rFonts w:ascii="Times New Roman" w:hAnsi="Times New Roman" w:eastAsia="仿宋_GB2312"/>
              <w:color w:val="auto"/>
              <w:sz w:val="24"/>
              <w:szCs w:val="24"/>
            </w:rPr>
            <w:t>第二节  加强生物多样性保护</w:t>
          </w:r>
          <w:r>
            <w:rPr>
              <w:rFonts w:ascii="Times New Roman" w:hAnsi="Times New Roman" w:eastAsia="仿宋_GB2312"/>
              <w:sz w:val="24"/>
              <w:szCs w:val="24"/>
            </w:rPr>
            <w:tab/>
          </w:r>
          <w:r>
            <w:rPr>
              <w:rFonts w:ascii="Times New Roman" w:hAnsi="Times New Roman" w:eastAsia="仿宋_GB2312"/>
              <w:sz w:val="24"/>
              <w:szCs w:val="24"/>
            </w:rPr>
            <w:fldChar w:fldCharType="begin"/>
          </w:r>
          <w:r>
            <w:rPr>
              <w:rFonts w:ascii="Times New Roman" w:hAnsi="Times New Roman" w:eastAsia="仿宋_GB2312"/>
              <w:sz w:val="24"/>
              <w:szCs w:val="24"/>
            </w:rPr>
            <w:instrText xml:space="preserve"> PAGEREF _Toc123548301 \h </w:instrText>
          </w:r>
          <w:r>
            <w:rPr>
              <w:rFonts w:ascii="Times New Roman" w:hAnsi="Times New Roman" w:eastAsia="仿宋_GB2312"/>
              <w:sz w:val="24"/>
              <w:szCs w:val="24"/>
            </w:rPr>
            <w:fldChar w:fldCharType="separate"/>
          </w:r>
          <w:r>
            <w:rPr>
              <w:rFonts w:ascii="Times New Roman" w:hAnsi="Times New Roman" w:eastAsia="仿宋_GB2312"/>
              <w:sz w:val="24"/>
              <w:szCs w:val="24"/>
            </w:rPr>
            <w:t>37</w:t>
          </w:r>
          <w:r>
            <w:rPr>
              <w:rFonts w:ascii="Times New Roman" w:hAnsi="Times New Roman" w:eastAsia="仿宋_GB2312"/>
              <w:sz w:val="24"/>
              <w:szCs w:val="24"/>
            </w:rPr>
            <w:fldChar w:fldCharType="end"/>
          </w:r>
          <w:r>
            <w:rPr>
              <w:rFonts w:ascii="Times New Roman" w:hAnsi="Times New Roman" w:eastAsia="仿宋_GB2312"/>
              <w:sz w:val="24"/>
              <w:szCs w:val="24"/>
            </w:rPr>
            <w:fldChar w:fldCharType="end"/>
          </w:r>
        </w:p>
        <w:p>
          <w:pPr>
            <w:pStyle w:val="10"/>
            <w:tabs>
              <w:tab w:val="right" w:leader="dot" w:pos="8296"/>
            </w:tabs>
            <w:adjustRightInd w:val="0"/>
            <w:snapToGrid w:val="0"/>
            <w:rPr>
              <w:rFonts w:ascii="Times New Roman" w:hAnsi="Times New Roman" w:eastAsia="仿宋_GB2312"/>
              <w:kern w:val="2"/>
              <w:sz w:val="24"/>
              <w:szCs w:val="24"/>
            </w:rPr>
          </w:pPr>
          <w:r>
            <w:fldChar w:fldCharType="begin"/>
          </w:r>
          <w:r>
            <w:instrText xml:space="preserve"> HYPERLINK \l "_Toc123548302" </w:instrText>
          </w:r>
          <w:r>
            <w:fldChar w:fldCharType="separate"/>
          </w:r>
          <w:r>
            <w:rPr>
              <w:rStyle w:val="14"/>
              <w:rFonts w:ascii="Times New Roman" w:hAnsi="Times New Roman" w:eastAsia="仿宋_GB2312"/>
              <w:color w:val="auto"/>
              <w:sz w:val="24"/>
              <w:szCs w:val="24"/>
            </w:rPr>
            <w:t>第三节  推进生态系统保护修复</w:t>
          </w:r>
          <w:r>
            <w:rPr>
              <w:rFonts w:ascii="Times New Roman" w:hAnsi="Times New Roman" w:eastAsia="仿宋_GB2312"/>
              <w:sz w:val="24"/>
              <w:szCs w:val="24"/>
            </w:rPr>
            <w:tab/>
          </w:r>
          <w:r>
            <w:rPr>
              <w:rFonts w:ascii="Times New Roman" w:hAnsi="Times New Roman" w:eastAsia="仿宋_GB2312"/>
              <w:sz w:val="24"/>
              <w:szCs w:val="24"/>
            </w:rPr>
            <w:fldChar w:fldCharType="begin"/>
          </w:r>
          <w:r>
            <w:rPr>
              <w:rFonts w:ascii="Times New Roman" w:hAnsi="Times New Roman" w:eastAsia="仿宋_GB2312"/>
              <w:sz w:val="24"/>
              <w:szCs w:val="24"/>
            </w:rPr>
            <w:instrText xml:space="preserve"> PAGEREF _Toc123548302 \h </w:instrText>
          </w:r>
          <w:r>
            <w:rPr>
              <w:rFonts w:ascii="Times New Roman" w:hAnsi="Times New Roman" w:eastAsia="仿宋_GB2312"/>
              <w:sz w:val="24"/>
              <w:szCs w:val="24"/>
            </w:rPr>
            <w:fldChar w:fldCharType="separate"/>
          </w:r>
          <w:r>
            <w:rPr>
              <w:rFonts w:ascii="Times New Roman" w:hAnsi="Times New Roman" w:eastAsia="仿宋_GB2312"/>
              <w:sz w:val="24"/>
              <w:szCs w:val="24"/>
            </w:rPr>
            <w:t>38</w:t>
          </w:r>
          <w:r>
            <w:rPr>
              <w:rFonts w:ascii="Times New Roman" w:hAnsi="Times New Roman" w:eastAsia="仿宋_GB2312"/>
              <w:sz w:val="24"/>
              <w:szCs w:val="24"/>
            </w:rPr>
            <w:fldChar w:fldCharType="end"/>
          </w:r>
          <w:r>
            <w:rPr>
              <w:rFonts w:ascii="Times New Roman" w:hAnsi="Times New Roman" w:eastAsia="仿宋_GB2312"/>
              <w:sz w:val="24"/>
              <w:szCs w:val="24"/>
            </w:rPr>
            <w:fldChar w:fldCharType="end"/>
          </w:r>
        </w:p>
        <w:p>
          <w:pPr>
            <w:pStyle w:val="10"/>
            <w:tabs>
              <w:tab w:val="right" w:leader="dot" w:pos="8296"/>
            </w:tabs>
            <w:adjustRightInd w:val="0"/>
            <w:snapToGrid w:val="0"/>
            <w:rPr>
              <w:rFonts w:ascii="Times New Roman" w:hAnsi="Times New Roman" w:eastAsia="仿宋_GB2312"/>
              <w:kern w:val="2"/>
              <w:sz w:val="24"/>
              <w:szCs w:val="24"/>
            </w:rPr>
          </w:pPr>
          <w:r>
            <w:fldChar w:fldCharType="begin"/>
          </w:r>
          <w:r>
            <w:instrText xml:space="preserve"> HYPERLINK \l "_Toc123548303" </w:instrText>
          </w:r>
          <w:r>
            <w:fldChar w:fldCharType="separate"/>
          </w:r>
          <w:r>
            <w:rPr>
              <w:rStyle w:val="14"/>
              <w:rFonts w:ascii="Times New Roman" w:hAnsi="Times New Roman" w:eastAsia="仿宋_GB2312"/>
              <w:color w:val="auto"/>
              <w:sz w:val="24"/>
              <w:szCs w:val="24"/>
            </w:rPr>
            <w:t>第四节  建立健全生态产品价值实现机制</w:t>
          </w:r>
          <w:r>
            <w:rPr>
              <w:rFonts w:ascii="Times New Roman" w:hAnsi="Times New Roman" w:eastAsia="仿宋_GB2312"/>
              <w:sz w:val="24"/>
              <w:szCs w:val="24"/>
            </w:rPr>
            <w:tab/>
          </w:r>
          <w:r>
            <w:rPr>
              <w:rFonts w:ascii="Times New Roman" w:hAnsi="Times New Roman" w:eastAsia="仿宋_GB2312"/>
              <w:sz w:val="24"/>
              <w:szCs w:val="24"/>
            </w:rPr>
            <w:fldChar w:fldCharType="begin"/>
          </w:r>
          <w:r>
            <w:rPr>
              <w:rFonts w:ascii="Times New Roman" w:hAnsi="Times New Roman" w:eastAsia="仿宋_GB2312"/>
              <w:sz w:val="24"/>
              <w:szCs w:val="24"/>
            </w:rPr>
            <w:instrText xml:space="preserve"> PAGEREF _Toc123548303 \h </w:instrText>
          </w:r>
          <w:r>
            <w:rPr>
              <w:rFonts w:ascii="Times New Roman" w:hAnsi="Times New Roman" w:eastAsia="仿宋_GB2312"/>
              <w:sz w:val="24"/>
              <w:szCs w:val="24"/>
            </w:rPr>
            <w:fldChar w:fldCharType="separate"/>
          </w:r>
          <w:r>
            <w:rPr>
              <w:rFonts w:ascii="Times New Roman" w:hAnsi="Times New Roman" w:eastAsia="仿宋_GB2312"/>
              <w:sz w:val="24"/>
              <w:szCs w:val="24"/>
            </w:rPr>
            <w:t>39</w:t>
          </w:r>
          <w:r>
            <w:rPr>
              <w:rFonts w:ascii="Times New Roman" w:hAnsi="Times New Roman" w:eastAsia="仿宋_GB2312"/>
              <w:sz w:val="24"/>
              <w:szCs w:val="24"/>
            </w:rPr>
            <w:fldChar w:fldCharType="end"/>
          </w:r>
          <w:r>
            <w:rPr>
              <w:rFonts w:ascii="Times New Roman" w:hAnsi="Times New Roman" w:eastAsia="仿宋_GB2312"/>
              <w:sz w:val="24"/>
              <w:szCs w:val="24"/>
            </w:rPr>
            <w:fldChar w:fldCharType="end"/>
          </w:r>
        </w:p>
        <w:p>
          <w:pPr>
            <w:pStyle w:val="9"/>
            <w:rPr>
              <w:rFonts w:ascii="Times New Roman" w:hAnsi="Times New Roman" w:eastAsia="仿宋_GB2312"/>
              <w:b w:val="0"/>
              <w:bCs w:val="0"/>
              <w:kern w:val="2"/>
              <w:sz w:val="24"/>
              <w:szCs w:val="24"/>
            </w:rPr>
          </w:pPr>
          <w:r>
            <w:fldChar w:fldCharType="begin"/>
          </w:r>
          <w:r>
            <w:instrText xml:space="preserve"> HYPERLINK \l "_Toc123548304" </w:instrText>
          </w:r>
          <w:r>
            <w:fldChar w:fldCharType="separate"/>
          </w:r>
          <w:r>
            <w:rPr>
              <w:rStyle w:val="14"/>
              <w:rFonts w:ascii="Times New Roman" w:hAnsi="Times New Roman" w:eastAsia="仿宋_GB2312"/>
              <w:color w:val="auto"/>
              <w:sz w:val="24"/>
              <w:szCs w:val="24"/>
            </w:rPr>
            <w:t>第九章  强化风险防控，有效防范环境风险</w:t>
          </w:r>
          <w:r>
            <w:rPr>
              <w:rFonts w:ascii="Times New Roman" w:hAnsi="Times New Roman" w:eastAsia="仿宋_GB2312"/>
              <w:sz w:val="24"/>
              <w:szCs w:val="24"/>
            </w:rPr>
            <w:tab/>
          </w:r>
          <w:r>
            <w:rPr>
              <w:rFonts w:ascii="Times New Roman" w:hAnsi="Times New Roman" w:eastAsia="仿宋_GB2312"/>
              <w:sz w:val="24"/>
              <w:szCs w:val="24"/>
            </w:rPr>
            <w:fldChar w:fldCharType="begin"/>
          </w:r>
          <w:r>
            <w:rPr>
              <w:rFonts w:ascii="Times New Roman" w:hAnsi="Times New Roman" w:eastAsia="仿宋_GB2312"/>
              <w:sz w:val="24"/>
              <w:szCs w:val="24"/>
            </w:rPr>
            <w:instrText xml:space="preserve"> PAGEREF _Toc123548304 \h </w:instrText>
          </w:r>
          <w:r>
            <w:rPr>
              <w:rFonts w:ascii="Times New Roman" w:hAnsi="Times New Roman" w:eastAsia="仿宋_GB2312"/>
              <w:sz w:val="24"/>
              <w:szCs w:val="24"/>
            </w:rPr>
            <w:fldChar w:fldCharType="separate"/>
          </w:r>
          <w:r>
            <w:rPr>
              <w:rFonts w:ascii="Times New Roman" w:hAnsi="Times New Roman" w:eastAsia="仿宋_GB2312"/>
              <w:sz w:val="24"/>
              <w:szCs w:val="24"/>
            </w:rPr>
            <w:t>40</w:t>
          </w:r>
          <w:r>
            <w:rPr>
              <w:rFonts w:ascii="Times New Roman" w:hAnsi="Times New Roman" w:eastAsia="仿宋_GB2312"/>
              <w:sz w:val="24"/>
              <w:szCs w:val="24"/>
            </w:rPr>
            <w:fldChar w:fldCharType="end"/>
          </w:r>
          <w:r>
            <w:rPr>
              <w:rFonts w:ascii="Times New Roman" w:hAnsi="Times New Roman" w:eastAsia="仿宋_GB2312"/>
              <w:sz w:val="24"/>
              <w:szCs w:val="24"/>
            </w:rPr>
            <w:fldChar w:fldCharType="end"/>
          </w:r>
        </w:p>
        <w:p>
          <w:pPr>
            <w:pStyle w:val="10"/>
            <w:tabs>
              <w:tab w:val="right" w:leader="dot" w:pos="8296"/>
            </w:tabs>
            <w:adjustRightInd w:val="0"/>
            <w:snapToGrid w:val="0"/>
            <w:rPr>
              <w:rFonts w:ascii="Times New Roman" w:hAnsi="Times New Roman" w:eastAsia="仿宋_GB2312"/>
              <w:kern w:val="2"/>
              <w:sz w:val="24"/>
              <w:szCs w:val="24"/>
            </w:rPr>
          </w:pPr>
          <w:r>
            <w:fldChar w:fldCharType="begin"/>
          </w:r>
          <w:r>
            <w:instrText xml:space="preserve"> HYPERLINK \l "_Toc123548305" </w:instrText>
          </w:r>
          <w:r>
            <w:fldChar w:fldCharType="separate"/>
          </w:r>
          <w:r>
            <w:rPr>
              <w:rStyle w:val="14"/>
              <w:rFonts w:ascii="Times New Roman" w:hAnsi="Times New Roman" w:eastAsia="仿宋_GB2312"/>
              <w:color w:val="auto"/>
              <w:sz w:val="24"/>
              <w:szCs w:val="24"/>
            </w:rPr>
            <w:t>第一节  强化核与辐射环境安全监管</w:t>
          </w:r>
          <w:r>
            <w:rPr>
              <w:rFonts w:ascii="Times New Roman" w:hAnsi="Times New Roman" w:eastAsia="仿宋_GB2312"/>
              <w:sz w:val="24"/>
              <w:szCs w:val="24"/>
            </w:rPr>
            <w:tab/>
          </w:r>
          <w:r>
            <w:rPr>
              <w:rFonts w:ascii="Times New Roman" w:hAnsi="Times New Roman" w:eastAsia="仿宋_GB2312"/>
              <w:sz w:val="24"/>
              <w:szCs w:val="24"/>
            </w:rPr>
            <w:fldChar w:fldCharType="begin"/>
          </w:r>
          <w:r>
            <w:rPr>
              <w:rFonts w:ascii="Times New Roman" w:hAnsi="Times New Roman" w:eastAsia="仿宋_GB2312"/>
              <w:sz w:val="24"/>
              <w:szCs w:val="24"/>
            </w:rPr>
            <w:instrText xml:space="preserve"> PAGEREF _Toc123548305 \h </w:instrText>
          </w:r>
          <w:r>
            <w:rPr>
              <w:rFonts w:ascii="Times New Roman" w:hAnsi="Times New Roman" w:eastAsia="仿宋_GB2312"/>
              <w:sz w:val="24"/>
              <w:szCs w:val="24"/>
            </w:rPr>
            <w:fldChar w:fldCharType="separate"/>
          </w:r>
          <w:r>
            <w:rPr>
              <w:rFonts w:ascii="Times New Roman" w:hAnsi="Times New Roman" w:eastAsia="仿宋_GB2312"/>
              <w:sz w:val="24"/>
              <w:szCs w:val="24"/>
            </w:rPr>
            <w:t>40</w:t>
          </w:r>
          <w:r>
            <w:rPr>
              <w:rFonts w:ascii="Times New Roman" w:hAnsi="Times New Roman" w:eastAsia="仿宋_GB2312"/>
              <w:sz w:val="24"/>
              <w:szCs w:val="24"/>
            </w:rPr>
            <w:fldChar w:fldCharType="end"/>
          </w:r>
          <w:r>
            <w:rPr>
              <w:rFonts w:ascii="Times New Roman" w:hAnsi="Times New Roman" w:eastAsia="仿宋_GB2312"/>
              <w:sz w:val="24"/>
              <w:szCs w:val="24"/>
            </w:rPr>
            <w:fldChar w:fldCharType="end"/>
          </w:r>
        </w:p>
        <w:p>
          <w:pPr>
            <w:pStyle w:val="10"/>
            <w:tabs>
              <w:tab w:val="right" w:leader="dot" w:pos="8296"/>
            </w:tabs>
            <w:adjustRightInd w:val="0"/>
            <w:snapToGrid w:val="0"/>
            <w:rPr>
              <w:rFonts w:ascii="Times New Roman" w:hAnsi="Times New Roman" w:eastAsia="仿宋_GB2312"/>
              <w:kern w:val="2"/>
              <w:sz w:val="24"/>
              <w:szCs w:val="24"/>
            </w:rPr>
          </w:pPr>
          <w:r>
            <w:fldChar w:fldCharType="begin"/>
          </w:r>
          <w:r>
            <w:instrText xml:space="preserve"> HYPERLINK \l "_Toc123548306" </w:instrText>
          </w:r>
          <w:r>
            <w:fldChar w:fldCharType="separate"/>
          </w:r>
          <w:r>
            <w:rPr>
              <w:rStyle w:val="14"/>
              <w:rFonts w:ascii="Times New Roman" w:hAnsi="Times New Roman" w:eastAsia="仿宋_GB2312"/>
              <w:color w:val="auto"/>
              <w:sz w:val="24"/>
              <w:szCs w:val="24"/>
            </w:rPr>
            <w:t>第二节  提升危险废物处理处置及监管能力</w:t>
          </w:r>
          <w:r>
            <w:rPr>
              <w:rFonts w:ascii="Times New Roman" w:hAnsi="Times New Roman" w:eastAsia="仿宋_GB2312"/>
              <w:sz w:val="24"/>
              <w:szCs w:val="24"/>
            </w:rPr>
            <w:tab/>
          </w:r>
          <w:r>
            <w:rPr>
              <w:rFonts w:ascii="Times New Roman" w:hAnsi="Times New Roman" w:eastAsia="仿宋_GB2312"/>
              <w:sz w:val="24"/>
              <w:szCs w:val="24"/>
            </w:rPr>
            <w:fldChar w:fldCharType="begin"/>
          </w:r>
          <w:r>
            <w:rPr>
              <w:rFonts w:ascii="Times New Roman" w:hAnsi="Times New Roman" w:eastAsia="仿宋_GB2312"/>
              <w:sz w:val="24"/>
              <w:szCs w:val="24"/>
            </w:rPr>
            <w:instrText xml:space="preserve"> PAGEREF _Toc123548306 \h </w:instrText>
          </w:r>
          <w:r>
            <w:rPr>
              <w:rFonts w:ascii="Times New Roman" w:hAnsi="Times New Roman" w:eastAsia="仿宋_GB2312"/>
              <w:sz w:val="24"/>
              <w:szCs w:val="24"/>
            </w:rPr>
            <w:fldChar w:fldCharType="separate"/>
          </w:r>
          <w:r>
            <w:rPr>
              <w:rFonts w:ascii="Times New Roman" w:hAnsi="Times New Roman" w:eastAsia="仿宋_GB2312"/>
              <w:sz w:val="24"/>
              <w:szCs w:val="24"/>
            </w:rPr>
            <w:t>40</w:t>
          </w:r>
          <w:r>
            <w:rPr>
              <w:rFonts w:ascii="Times New Roman" w:hAnsi="Times New Roman" w:eastAsia="仿宋_GB2312"/>
              <w:sz w:val="24"/>
              <w:szCs w:val="24"/>
            </w:rPr>
            <w:fldChar w:fldCharType="end"/>
          </w:r>
          <w:r>
            <w:rPr>
              <w:rFonts w:ascii="Times New Roman" w:hAnsi="Times New Roman" w:eastAsia="仿宋_GB2312"/>
              <w:sz w:val="24"/>
              <w:szCs w:val="24"/>
            </w:rPr>
            <w:fldChar w:fldCharType="end"/>
          </w:r>
        </w:p>
        <w:p>
          <w:pPr>
            <w:pStyle w:val="10"/>
            <w:tabs>
              <w:tab w:val="right" w:leader="dot" w:pos="8296"/>
            </w:tabs>
            <w:adjustRightInd w:val="0"/>
            <w:snapToGrid w:val="0"/>
            <w:rPr>
              <w:rFonts w:ascii="Times New Roman" w:hAnsi="Times New Roman" w:eastAsia="仿宋_GB2312"/>
              <w:kern w:val="2"/>
              <w:sz w:val="24"/>
              <w:szCs w:val="24"/>
            </w:rPr>
          </w:pPr>
          <w:r>
            <w:fldChar w:fldCharType="begin"/>
          </w:r>
          <w:r>
            <w:instrText xml:space="preserve"> HYPERLINK \l "_Toc123548307" </w:instrText>
          </w:r>
          <w:r>
            <w:fldChar w:fldCharType="separate"/>
          </w:r>
          <w:r>
            <w:rPr>
              <w:rStyle w:val="14"/>
              <w:rFonts w:ascii="Times New Roman" w:hAnsi="Times New Roman" w:eastAsia="仿宋_GB2312"/>
              <w:color w:val="auto"/>
              <w:sz w:val="24"/>
              <w:szCs w:val="24"/>
            </w:rPr>
            <w:t>第三节  强化重金属污染防治</w:t>
          </w:r>
          <w:r>
            <w:rPr>
              <w:rFonts w:ascii="Times New Roman" w:hAnsi="Times New Roman" w:eastAsia="仿宋_GB2312"/>
              <w:sz w:val="24"/>
              <w:szCs w:val="24"/>
            </w:rPr>
            <w:tab/>
          </w:r>
          <w:r>
            <w:rPr>
              <w:rFonts w:ascii="Times New Roman" w:hAnsi="Times New Roman" w:eastAsia="仿宋_GB2312"/>
              <w:sz w:val="24"/>
              <w:szCs w:val="24"/>
            </w:rPr>
            <w:fldChar w:fldCharType="begin"/>
          </w:r>
          <w:r>
            <w:rPr>
              <w:rFonts w:ascii="Times New Roman" w:hAnsi="Times New Roman" w:eastAsia="仿宋_GB2312"/>
              <w:sz w:val="24"/>
              <w:szCs w:val="24"/>
            </w:rPr>
            <w:instrText xml:space="preserve"> PAGEREF _Toc123548307 \h </w:instrText>
          </w:r>
          <w:r>
            <w:rPr>
              <w:rFonts w:ascii="Times New Roman" w:hAnsi="Times New Roman" w:eastAsia="仿宋_GB2312"/>
              <w:sz w:val="24"/>
              <w:szCs w:val="24"/>
            </w:rPr>
            <w:fldChar w:fldCharType="separate"/>
          </w:r>
          <w:r>
            <w:rPr>
              <w:rFonts w:ascii="Times New Roman" w:hAnsi="Times New Roman" w:eastAsia="仿宋_GB2312"/>
              <w:sz w:val="24"/>
              <w:szCs w:val="24"/>
            </w:rPr>
            <w:t>41</w:t>
          </w:r>
          <w:r>
            <w:rPr>
              <w:rFonts w:ascii="Times New Roman" w:hAnsi="Times New Roman" w:eastAsia="仿宋_GB2312"/>
              <w:sz w:val="24"/>
              <w:szCs w:val="24"/>
            </w:rPr>
            <w:fldChar w:fldCharType="end"/>
          </w:r>
          <w:r>
            <w:rPr>
              <w:rFonts w:ascii="Times New Roman" w:hAnsi="Times New Roman" w:eastAsia="仿宋_GB2312"/>
              <w:sz w:val="24"/>
              <w:szCs w:val="24"/>
            </w:rPr>
            <w:fldChar w:fldCharType="end"/>
          </w:r>
        </w:p>
        <w:p>
          <w:pPr>
            <w:pStyle w:val="10"/>
            <w:tabs>
              <w:tab w:val="right" w:leader="dot" w:pos="8296"/>
            </w:tabs>
            <w:adjustRightInd w:val="0"/>
            <w:snapToGrid w:val="0"/>
            <w:rPr>
              <w:rFonts w:ascii="Times New Roman" w:hAnsi="Times New Roman" w:eastAsia="仿宋_GB2312"/>
              <w:kern w:val="2"/>
              <w:sz w:val="24"/>
              <w:szCs w:val="24"/>
            </w:rPr>
          </w:pPr>
          <w:r>
            <w:fldChar w:fldCharType="begin"/>
          </w:r>
          <w:r>
            <w:instrText xml:space="preserve"> HYPERLINK \l "_Toc123548308" </w:instrText>
          </w:r>
          <w:r>
            <w:fldChar w:fldCharType="separate"/>
          </w:r>
          <w:r>
            <w:rPr>
              <w:rStyle w:val="14"/>
              <w:rFonts w:ascii="Times New Roman" w:hAnsi="Times New Roman" w:eastAsia="仿宋_GB2312"/>
              <w:color w:val="auto"/>
              <w:sz w:val="24"/>
              <w:szCs w:val="24"/>
            </w:rPr>
            <w:t>第四节  推进其他固体废物利用处置</w:t>
          </w:r>
          <w:r>
            <w:rPr>
              <w:rFonts w:ascii="Times New Roman" w:hAnsi="Times New Roman" w:eastAsia="仿宋_GB2312"/>
              <w:sz w:val="24"/>
              <w:szCs w:val="24"/>
            </w:rPr>
            <w:tab/>
          </w:r>
          <w:r>
            <w:rPr>
              <w:rFonts w:ascii="Times New Roman" w:hAnsi="Times New Roman" w:eastAsia="仿宋_GB2312"/>
              <w:sz w:val="24"/>
              <w:szCs w:val="24"/>
            </w:rPr>
            <w:fldChar w:fldCharType="begin"/>
          </w:r>
          <w:r>
            <w:rPr>
              <w:rFonts w:ascii="Times New Roman" w:hAnsi="Times New Roman" w:eastAsia="仿宋_GB2312"/>
              <w:sz w:val="24"/>
              <w:szCs w:val="24"/>
            </w:rPr>
            <w:instrText xml:space="preserve"> PAGEREF _Toc123548308 \h </w:instrText>
          </w:r>
          <w:r>
            <w:rPr>
              <w:rFonts w:ascii="Times New Roman" w:hAnsi="Times New Roman" w:eastAsia="仿宋_GB2312"/>
              <w:sz w:val="24"/>
              <w:szCs w:val="24"/>
            </w:rPr>
            <w:fldChar w:fldCharType="separate"/>
          </w:r>
          <w:r>
            <w:rPr>
              <w:rFonts w:ascii="Times New Roman" w:hAnsi="Times New Roman" w:eastAsia="仿宋_GB2312"/>
              <w:sz w:val="24"/>
              <w:szCs w:val="24"/>
            </w:rPr>
            <w:t>42</w:t>
          </w:r>
          <w:r>
            <w:rPr>
              <w:rFonts w:ascii="Times New Roman" w:hAnsi="Times New Roman" w:eastAsia="仿宋_GB2312"/>
              <w:sz w:val="24"/>
              <w:szCs w:val="24"/>
            </w:rPr>
            <w:fldChar w:fldCharType="end"/>
          </w:r>
          <w:r>
            <w:rPr>
              <w:rFonts w:ascii="Times New Roman" w:hAnsi="Times New Roman" w:eastAsia="仿宋_GB2312"/>
              <w:sz w:val="24"/>
              <w:szCs w:val="24"/>
            </w:rPr>
            <w:fldChar w:fldCharType="end"/>
          </w:r>
        </w:p>
        <w:p>
          <w:pPr>
            <w:pStyle w:val="10"/>
            <w:tabs>
              <w:tab w:val="right" w:leader="dot" w:pos="8296"/>
            </w:tabs>
            <w:adjustRightInd w:val="0"/>
            <w:snapToGrid w:val="0"/>
            <w:rPr>
              <w:rFonts w:ascii="Times New Roman" w:hAnsi="Times New Roman" w:eastAsia="仿宋_GB2312"/>
              <w:kern w:val="2"/>
              <w:sz w:val="24"/>
              <w:szCs w:val="24"/>
            </w:rPr>
          </w:pPr>
          <w:r>
            <w:fldChar w:fldCharType="begin"/>
          </w:r>
          <w:r>
            <w:instrText xml:space="preserve"> HYPERLINK \l "_Toc123548309" </w:instrText>
          </w:r>
          <w:r>
            <w:fldChar w:fldCharType="separate"/>
          </w:r>
          <w:r>
            <w:rPr>
              <w:rStyle w:val="14"/>
              <w:rFonts w:ascii="Times New Roman" w:hAnsi="Times New Roman" w:eastAsia="仿宋_GB2312"/>
              <w:color w:val="auto"/>
              <w:sz w:val="24"/>
              <w:szCs w:val="24"/>
            </w:rPr>
            <w:t>第五节  加大新污染物基础调查及排放控制</w:t>
          </w:r>
          <w:r>
            <w:rPr>
              <w:rFonts w:ascii="Times New Roman" w:hAnsi="Times New Roman" w:eastAsia="仿宋_GB2312"/>
              <w:sz w:val="24"/>
              <w:szCs w:val="24"/>
            </w:rPr>
            <w:tab/>
          </w:r>
          <w:r>
            <w:rPr>
              <w:rFonts w:ascii="Times New Roman" w:hAnsi="Times New Roman" w:eastAsia="仿宋_GB2312"/>
              <w:sz w:val="24"/>
              <w:szCs w:val="24"/>
            </w:rPr>
            <w:fldChar w:fldCharType="begin"/>
          </w:r>
          <w:r>
            <w:rPr>
              <w:rFonts w:ascii="Times New Roman" w:hAnsi="Times New Roman" w:eastAsia="仿宋_GB2312"/>
              <w:sz w:val="24"/>
              <w:szCs w:val="24"/>
            </w:rPr>
            <w:instrText xml:space="preserve"> PAGEREF _Toc123548309 \h </w:instrText>
          </w:r>
          <w:r>
            <w:rPr>
              <w:rFonts w:ascii="Times New Roman" w:hAnsi="Times New Roman" w:eastAsia="仿宋_GB2312"/>
              <w:sz w:val="24"/>
              <w:szCs w:val="24"/>
            </w:rPr>
            <w:fldChar w:fldCharType="separate"/>
          </w:r>
          <w:r>
            <w:rPr>
              <w:rFonts w:ascii="Times New Roman" w:hAnsi="Times New Roman" w:eastAsia="仿宋_GB2312"/>
              <w:sz w:val="24"/>
              <w:szCs w:val="24"/>
            </w:rPr>
            <w:t>43</w:t>
          </w:r>
          <w:r>
            <w:rPr>
              <w:rFonts w:ascii="Times New Roman" w:hAnsi="Times New Roman" w:eastAsia="仿宋_GB2312"/>
              <w:sz w:val="24"/>
              <w:szCs w:val="24"/>
            </w:rPr>
            <w:fldChar w:fldCharType="end"/>
          </w:r>
          <w:r>
            <w:rPr>
              <w:rFonts w:ascii="Times New Roman" w:hAnsi="Times New Roman" w:eastAsia="仿宋_GB2312"/>
              <w:sz w:val="24"/>
              <w:szCs w:val="24"/>
            </w:rPr>
            <w:fldChar w:fldCharType="end"/>
          </w:r>
        </w:p>
        <w:p>
          <w:pPr>
            <w:pStyle w:val="10"/>
            <w:tabs>
              <w:tab w:val="right" w:leader="dot" w:pos="8296"/>
            </w:tabs>
            <w:adjustRightInd w:val="0"/>
            <w:snapToGrid w:val="0"/>
            <w:rPr>
              <w:rFonts w:ascii="Times New Roman" w:hAnsi="Times New Roman" w:eastAsia="仿宋_GB2312"/>
              <w:kern w:val="2"/>
              <w:sz w:val="24"/>
              <w:szCs w:val="24"/>
            </w:rPr>
          </w:pPr>
          <w:r>
            <w:fldChar w:fldCharType="begin"/>
          </w:r>
          <w:r>
            <w:instrText xml:space="preserve"> HYPERLINK \l "_Toc123548310" </w:instrText>
          </w:r>
          <w:r>
            <w:fldChar w:fldCharType="separate"/>
          </w:r>
          <w:r>
            <w:rPr>
              <w:rStyle w:val="14"/>
              <w:rFonts w:ascii="Times New Roman" w:hAnsi="Times New Roman" w:eastAsia="仿宋_GB2312"/>
              <w:color w:val="auto"/>
              <w:sz w:val="24"/>
              <w:szCs w:val="24"/>
            </w:rPr>
            <w:t>第六节  强化环境风险预警与应急管理</w:t>
          </w:r>
          <w:r>
            <w:rPr>
              <w:rFonts w:ascii="Times New Roman" w:hAnsi="Times New Roman" w:eastAsia="仿宋_GB2312"/>
              <w:sz w:val="24"/>
              <w:szCs w:val="24"/>
            </w:rPr>
            <w:tab/>
          </w:r>
          <w:r>
            <w:rPr>
              <w:rFonts w:ascii="Times New Roman" w:hAnsi="Times New Roman" w:eastAsia="仿宋_GB2312"/>
              <w:sz w:val="24"/>
              <w:szCs w:val="24"/>
            </w:rPr>
            <w:fldChar w:fldCharType="begin"/>
          </w:r>
          <w:r>
            <w:rPr>
              <w:rFonts w:ascii="Times New Roman" w:hAnsi="Times New Roman" w:eastAsia="仿宋_GB2312"/>
              <w:sz w:val="24"/>
              <w:szCs w:val="24"/>
            </w:rPr>
            <w:instrText xml:space="preserve"> PAGEREF _Toc123548310 \h </w:instrText>
          </w:r>
          <w:r>
            <w:rPr>
              <w:rFonts w:ascii="Times New Roman" w:hAnsi="Times New Roman" w:eastAsia="仿宋_GB2312"/>
              <w:sz w:val="24"/>
              <w:szCs w:val="24"/>
            </w:rPr>
            <w:fldChar w:fldCharType="separate"/>
          </w:r>
          <w:r>
            <w:rPr>
              <w:rFonts w:ascii="Times New Roman" w:hAnsi="Times New Roman" w:eastAsia="仿宋_GB2312"/>
              <w:sz w:val="24"/>
              <w:szCs w:val="24"/>
            </w:rPr>
            <w:t>43</w:t>
          </w:r>
          <w:r>
            <w:rPr>
              <w:rFonts w:ascii="Times New Roman" w:hAnsi="Times New Roman" w:eastAsia="仿宋_GB2312"/>
              <w:sz w:val="24"/>
              <w:szCs w:val="24"/>
            </w:rPr>
            <w:fldChar w:fldCharType="end"/>
          </w:r>
          <w:r>
            <w:rPr>
              <w:rFonts w:ascii="Times New Roman" w:hAnsi="Times New Roman" w:eastAsia="仿宋_GB2312"/>
              <w:sz w:val="24"/>
              <w:szCs w:val="24"/>
            </w:rPr>
            <w:fldChar w:fldCharType="end"/>
          </w:r>
        </w:p>
        <w:p>
          <w:pPr>
            <w:pStyle w:val="9"/>
            <w:rPr>
              <w:rFonts w:ascii="Times New Roman" w:hAnsi="Times New Roman" w:eastAsia="仿宋_GB2312"/>
              <w:b w:val="0"/>
              <w:bCs w:val="0"/>
              <w:kern w:val="2"/>
              <w:sz w:val="24"/>
              <w:szCs w:val="24"/>
            </w:rPr>
          </w:pPr>
          <w:r>
            <w:fldChar w:fldCharType="begin"/>
          </w:r>
          <w:r>
            <w:instrText xml:space="preserve"> HYPERLINK \l "_Toc123548311" </w:instrText>
          </w:r>
          <w:r>
            <w:fldChar w:fldCharType="separate"/>
          </w:r>
          <w:r>
            <w:rPr>
              <w:rStyle w:val="14"/>
              <w:rFonts w:ascii="Times New Roman" w:hAnsi="Times New Roman" w:eastAsia="仿宋_GB2312"/>
              <w:color w:val="auto"/>
              <w:sz w:val="24"/>
              <w:szCs w:val="24"/>
            </w:rPr>
            <w:t>第十章  深化改革创新，构建现代环境治理体系</w:t>
          </w:r>
          <w:r>
            <w:rPr>
              <w:rFonts w:ascii="Times New Roman" w:hAnsi="Times New Roman" w:eastAsia="仿宋_GB2312"/>
              <w:sz w:val="24"/>
              <w:szCs w:val="24"/>
            </w:rPr>
            <w:tab/>
          </w:r>
          <w:r>
            <w:rPr>
              <w:rFonts w:ascii="Times New Roman" w:hAnsi="Times New Roman" w:eastAsia="仿宋_GB2312"/>
              <w:sz w:val="24"/>
              <w:szCs w:val="24"/>
            </w:rPr>
            <w:fldChar w:fldCharType="begin"/>
          </w:r>
          <w:r>
            <w:rPr>
              <w:rFonts w:ascii="Times New Roman" w:hAnsi="Times New Roman" w:eastAsia="仿宋_GB2312"/>
              <w:sz w:val="24"/>
              <w:szCs w:val="24"/>
            </w:rPr>
            <w:instrText xml:space="preserve"> PAGEREF _Toc123548311 \h </w:instrText>
          </w:r>
          <w:r>
            <w:rPr>
              <w:rFonts w:ascii="Times New Roman" w:hAnsi="Times New Roman" w:eastAsia="仿宋_GB2312"/>
              <w:sz w:val="24"/>
              <w:szCs w:val="24"/>
            </w:rPr>
            <w:fldChar w:fldCharType="separate"/>
          </w:r>
          <w:r>
            <w:rPr>
              <w:rFonts w:ascii="Times New Roman" w:hAnsi="Times New Roman" w:eastAsia="仿宋_GB2312"/>
              <w:sz w:val="24"/>
              <w:szCs w:val="24"/>
            </w:rPr>
            <w:t>45</w:t>
          </w:r>
          <w:r>
            <w:rPr>
              <w:rFonts w:ascii="Times New Roman" w:hAnsi="Times New Roman" w:eastAsia="仿宋_GB2312"/>
              <w:sz w:val="24"/>
              <w:szCs w:val="24"/>
            </w:rPr>
            <w:fldChar w:fldCharType="end"/>
          </w:r>
          <w:r>
            <w:rPr>
              <w:rFonts w:ascii="Times New Roman" w:hAnsi="Times New Roman" w:eastAsia="仿宋_GB2312"/>
              <w:sz w:val="24"/>
              <w:szCs w:val="24"/>
            </w:rPr>
            <w:fldChar w:fldCharType="end"/>
          </w:r>
        </w:p>
        <w:p>
          <w:pPr>
            <w:pStyle w:val="10"/>
            <w:tabs>
              <w:tab w:val="right" w:leader="dot" w:pos="8296"/>
            </w:tabs>
            <w:adjustRightInd w:val="0"/>
            <w:snapToGrid w:val="0"/>
            <w:rPr>
              <w:rFonts w:ascii="Times New Roman" w:hAnsi="Times New Roman" w:eastAsia="仿宋_GB2312"/>
              <w:kern w:val="2"/>
              <w:sz w:val="24"/>
              <w:szCs w:val="24"/>
            </w:rPr>
          </w:pPr>
          <w:r>
            <w:fldChar w:fldCharType="begin"/>
          </w:r>
          <w:r>
            <w:instrText xml:space="preserve"> HYPERLINK \l "_Toc123548312" </w:instrText>
          </w:r>
          <w:r>
            <w:fldChar w:fldCharType="separate"/>
          </w:r>
          <w:r>
            <w:rPr>
              <w:rStyle w:val="14"/>
              <w:rFonts w:ascii="Times New Roman" w:hAnsi="Times New Roman" w:eastAsia="仿宋_GB2312"/>
              <w:color w:val="auto"/>
              <w:sz w:val="24"/>
              <w:szCs w:val="24"/>
            </w:rPr>
            <w:t>第一节  创新生态环境管理模式</w:t>
          </w:r>
          <w:r>
            <w:rPr>
              <w:rFonts w:ascii="Times New Roman" w:hAnsi="Times New Roman" w:eastAsia="仿宋_GB2312"/>
              <w:sz w:val="24"/>
              <w:szCs w:val="24"/>
            </w:rPr>
            <w:tab/>
          </w:r>
          <w:r>
            <w:rPr>
              <w:rFonts w:ascii="Times New Roman" w:hAnsi="Times New Roman" w:eastAsia="仿宋_GB2312"/>
              <w:sz w:val="24"/>
              <w:szCs w:val="24"/>
            </w:rPr>
            <w:fldChar w:fldCharType="begin"/>
          </w:r>
          <w:r>
            <w:rPr>
              <w:rFonts w:ascii="Times New Roman" w:hAnsi="Times New Roman" w:eastAsia="仿宋_GB2312"/>
              <w:sz w:val="24"/>
              <w:szCs w:val="24"/>
            </w:rPr>
            <w:instrText xml:space="preserve"> PAGEREF _Toc123548312 \h </w:instrText>
          </w:r>
          <w:r>
            <w:rPr>
              <w:rFonts w:ascii="Times New Roman" w:hAnsi="Times New Roman" w:eastAsia="仿宋_GB2312"/>
              <w:sz w:val="24"/>
              <w:szCs w:val="24"/>
            </w:rPr>
            <w:fldChar w:fldCharType="separate"/>
          </w:r>
          <w:r>
            <w:rPr>
              <w:rFonts w:ascii="Times New Roman" w:hAnsi="Times New Roman" w:eastAsia="仿宋_GB2312"/>
              <w:sz w:val="24"/>
              <w:szCs w:val="24"/>
            </w:rPr>
            <w:t>45</w:t>
          </w:r>
          <w:r>
            <w:rPr>
              <w:rFonts w:ascii="Times New Roman" w:hAnsi="Times New Roman" w:eastAsia="仿宋_GB2312"/>
              <w:sz w:val="24"/>
              <w:szCs w:val="24"/>
            </w:rPr>
            <w:fldChar w:fldCharType="end"/>
          </w:r>
          <w:r>
            <w:rPr>
              <w:rFonts w:ascii="Times New Roman" w:hAnsi="Times New Roman" w:eastAsia="仿宋_GB2312"/>
              <w:sz w:val="24"/>
              <w:szCs w:val="24"/>
            </w:rPr>
            <w:fldChar w:fldCharType="end"/>
          </w:r>
        </w:p>
        <w:p>
          <w:pPr>
            <w:pStyle w:val="10"/>
            <w:tabs>
              <w:tab w:val="right" w:leader="dot" w:pos="8296"/>
            </w:tabs>
            <w:adjustRightInd w:val="0"/>
            <w:snapToGrid w:val="0"/>
            <w:rPr>
              <w:rFonts w:ascii="Times New Roman" w:hAnsi="Times New Roman" w:eastAsia="仿宋_GB2312"/>
              <w:kern w:val="2"/>
              <w:sz w:val="24"/>
              <w:szCs w:val="24"/>
            </w:rPr>
          </w:pPr>
          <w:r>
            <w:fldChar w:fldCharType="begin"/>
          </w:r>
          <w:r>
            <w:instrText xml:space="preserve"> HYPERLINK \l "_Toc123548313" </w:instrText>
          </w:r>
          <w:r>
            <w:fldChar w:fldCharType="separate"/>
          </w:r>
          <w:r>
            <w:rPr>
              <w:rStyle w:val="14"/>
              <w:rFonts w:ascii="Times New Roman" w:hAnsi="Times New Roman" w:eastAsia="仿宋_GB2312"/>
              <w:color w:val="auto"/>
              <w:sz w:val="24"/>
              <w:szCs w:val="24"/>
            </w:rPr>
            <w:t>第二节  完善生态环境制度建设</w:t>
          </w:r>
          <w:r>
            <w:rPr>
              <w:rFonts w:ascii="Times New Roman" w:hAnsi="Times New Roman" w:eastAsia="仿宋_GB2312"/>
              <w:sz w:val="24"/>
              <w:szCs w:val="24"/>
            </w:rPr>
            <w:tab/>
          </w:r>
          <w:r>
            <w:rPr>
              <w:rFonts w:ascii="Times New Roman" w:hAnsi="Times New Roman" w:eastAsia="仿宋_GB2312"/>
              <w:sz w:val="24"/>
              <w:szCs w:val="24"/>
            </w:rPr>
            <w:fldChar w:fldCharType="begin"/>
          </w:r>
          <w:r>
            <w:rPr>
              <w:rFonts w:ascii="Times New Roman" w:hAnsi="Times New Roman" w:eastAsia="仿宋_GB2312"/>
              <w:sz w:val="24"/>
              <w:szCs w:val="24"/>
            </w:rPr>
            <w:instrText xml:space="preserve"> PAGEREF _Toc123548313 \h </w:instrText>
          </w:r>
          <w:r>
            <w:rPr>
              <w:rFonts w:ascii="Times New Roman" w:hAnsi="Times New Roman" w:eastAsia="仿宋_GB2312"/>
              <w:sz w:val="24"/>
              <w:szCs w:val="24"/>
            </w:rPr>
            <w:fldChar w:fldCharType="separate"/>
          </w:r>
          <w:r>
            <w:rPr>
              <w:rFonts w:ascii="Times New Roman" w:hAnsi="Times New Roman" w:eastAsia="仿宋_GB2312"/>
              <w:sz w:val="24"/>
              <w:szCs w:val="24"/>
            </w:rPr>
            <w:t>46</w:t>
          </w:r>
          <w:r>
            <w:rPr>
              <w:rFonts w:ascii="Times New Roman" w:hAnsi="Times New Roman" w:eastAsia="仿宋_GB2312"/>
              <w:sz w:val="24"/>
              <w:szCs w:val="24"/>
            </w:rPr>
            <w:fldChar w:fldCharType="end"/>
          </w:r>
          <w:r>
            <w:rPr>
              <w:rFonts w:ascii="Times New Roman" w:hAnsi="Times New Roman" w:eastAsia="仿宋_GB2312"/>
              <w:sz w:val="24"/>
              <w:szCs w:val="24"/>
            </w:rPr>
            <w:fldChar w:fldCharType="end"/>
          </w:r>
        </w:p>
        <w:p>
          <w:pPr>
            <w:pStyle w:val="10"/>
            <w:tabs>
              <w:tab w:val="right" w:leader="dot" w:pos="8296"/>
            </w:tabs>
            <w:adjustRightInd w:val="0"/>
            <w:snapToGrid w:val="0"/>
            <w:rPr>
              <w:rFonts w:ascii="Times New Roman" w:hAnsi="Times New Roman" w:eastAsia="仿宋_GB2312"/>
              <w:kern w:val="2"/>
              <w:sz w:val="24"/>
              <w:szCs w:val="24"/>
            </w:rPr>
          </w:pPr>
          <w:r>
            <w:fldChar w:fldCharType="begin"/>
          </w:r>
          <w:r>
            <w:instrText xml:space="preserve"> HYPERLINK \l "_Toc123548314" </w:instrText>
          </w:r>
          <w:r>
            <w:fldChar w:fldCharType="separate"/>
          </w:r>
          <w:r>
            <w:rPr>
              <w:rStyle w:val="14"/>
              <w:rFonts w:ascii="Times New Roman" w:hAnsi="Times New Roman" w:eastAsia="仿宋_GB2312"/>
              <w:color w:val="auto"/>
              <w:sz w:val="24"/>
              <w:szCs w:val="24"/>
            </w:rPr>
            <w:t>第三节  推进生态环境监测体系建设</w:t>
          </w:r>
          <w:r>
            <w:rPr>
              <w:rFonts w:ascii="Times New Roman" w:hAnsi="Times New Roman" w:eastAsia="仿宋_GB2312"/>
              <w:sz w:val="24"/>
              <w:szCs w:val="24"/>
            </w:rPr>
            <w:tab/>
          </w:r>
          <w:r>
            <w:rPr>
              <w:rFonts w:ascii="Times New Roman" w:hAnsi="Times New Roman" w:eastAsia="仿宋_GB2312"/>
              <w:sz w:val="24"/>
              <w:szCs w:val="24"/>
            </w:rPr>
            <w:fldChar w:fldCharType="begin"/>
          </w:r>
          <w:r>
            <w:rPr>
              <w:rFonts w:ascii="Times New Roman" w:hAnsi="Times New Roman" w:eastAsia="仿宋_GB2312"/>
              <w:sz w:val="24"/>
              <w:szCs w:val="24"/>
            </w:rPr>
            <w:instrText xml:space="preserve"> PAGEREF _Toc123548314 \h </w:instrText>
          </w:r>
          <w:r>
            <w:rPr>
              <w:rFonts w:ascii="Times New Roman" w:hAnsi="Times New Roman" w:eastAsia="仿宋_GB2312"/>
              <w:sz w:val="24"/>
              <w:szCs w:val="24"/>
            </w:rPr>
            <w:fldChar w:fldCharType="separate"/>
          </w:r>
          <w:r>
            <w:rPr>
              <w:rFonts w:ascii="Times New Roman" w:hAnsi="Times New Roman" w:eastAsia="仿宋_GB2312"/>
              <w:sz w:val="24"/>
              <w:szCs w:val="24"/>
            </w:rPr>
            <w:t>48</w:t>
          </w:r>
          <w:r>
            <w:rPr>
              <w:rFonts w:ascii="Times New Roman" w:hAnsi="Times New Roman" w:eastAsia="仿宋_GB2312"/>
              <w:sz w:val="24"/>
              <w:szCs w:val="24"/>
            </w:rPr>
            <w:fldChar w:fldCharType="end"/>
          </w:r>
          <w:r>
            <w:rPr>
              <w:rFonts w:ascii="Times New Roman" w:hAnsi="Times New Roman" w:eastAsia="仿宋_GB2312"/>
              <w:sz w:val="24"/>
              <w:szCs w:val="24"/>
            </w:rPr>
            <w:fldChar w:fldCharType="end"/>
          </w:r>
        </w:p>
        <w:p>
          <w:pPr>
            <w:pStyle w:val="10"/>
            <w:tabs>
              <w:tab w:val="right" w:leader="dot" w:pos="8296"/>
            </w:tabs>
            <w:adjustRightInd w:val="0"/>
            <w:snapToGrid w:val="0"/>
            <w:rPr>
              <w:rFonts w:ascii="Times New Roman" w:hAnsi="Times New Roman" w:eastAsia="仿宋_GB2312"/>
              <w:kern w:val="2"/>
              <w:sz w:val="24"/>
              <w:szCs w:val="24"/>
            </w:rPr>
          </w:pPr>
          <w:r>
            <w:fldChar w:fldCharType="begin"/>
          </w:r>
          <w:r>
            <w:instrText xml:space="preserve"> HYPERLINK \l "_Toc123548315" </w:instrText>
          </w:r>
          <w:r>
            <w:fldChar w:fldCharType="separate"/>
          </w:r>
          <w:r>
            <w:rPr>
              <w:rStyle w:val="14"/>
              <w:rFonts w:ascii="Times New Roman" w:hAnsi="Times New Roman" w:eastAsia="仿宋_GB2312"/>
              <w:color w:val="auto"/>
              <w:sz w:val="24"/>
              <w:szCs w:val="24"/>
            </w:rPr>
            <w:t>第四节  开展生态环境大数据建设</w:t>
          </w:r>
          <w:r>
            <w:rPr>
              <w:rFonts w:ascii="Times New Roman" w:hAnsi="Times New Roman" w:eastAsia="仿宋_GB2312"/>
              <w:sz w:val="24"/>
              <w:szCs w:val="24"/>
            </w:rPr>
            <w:tab/>
          </w:r>
          <w:r>
            <w:rPr>
              <w:rFonts w:ascii="Times New Roman" w:hAnsi="Times New Roman" w:eastAsia="仿宋_GB2312"/>
              <w:sz w:val="24"/>
              <w:szCs w:val="24"/>
            </w:rPr>
            <w:fldChar w:fldCharType="begin"/>
          </w:r>
          <w:r>
            <w:rPr>
              <w:rFonts w:ascii="Times New Roman" w:hAnsi="Times New Roman" w:eastAsia="仿宋_GB2312"/>
              <w:sz w:val="24"/>
              <w:szCs w:val="24"/>
            </w:rPr>
            <w:instrText xml:space="preserve"> PAGEREF _Toc123548315 \h </w:instrText>
          </w:r>
          <w:r>
            <w:rPr>
              <w:rFonts w:ascii="Times New Roman" w:hAnsi="Times New Roman" w:eastAsia="仿宋_GB2312"/>
              <w:sz w:val="24"/>
              <w:szCs w:val="24"/>
            </w:rPr>
            <w:fldChar w:fldCharType="separate"/>
          </w:r>
          <w:r>
            <w:rPr>
              <w:rFonts w:ascii="Times New Roman" w:hAnsi="Times New Roman" w:eastAsia="仿宋_GB2312"/>
              <w:sz w:val="24"/>
              <w:szCs w:val="24"/>
            </w:rPr>
            <w:t>49</w:t>
          </w:r>
          <w:r>
            <w:rPr>
              <w:rFonts w:ascii="Times New Roman" w:hAnsi="Times New Roman" w:eastAsia="仿宋_GB2312"/>
              <w:sz w:val="24"/>
              <w:szCs w:val="24"/>
            </w:rPr>
            <w:fldChar w:fldCharType="end"/>
          </w:r>
          <w:r>
            <w:rPr>
              <w:rFonts w:ascii="Times New Roman" w:hAnsi="Times New Roman" w:eastAsia="仿宋_GB2312"/>
              <w:sz w:val="24"/>
              <w:szCs w:val="24"/>
            </w:rPr>
            <w:fldChar w:fldCharType="end"/>
          </w:r>
        </w:p>
        <w:p>
          <w:pPr>
            <w:pStyle w:val="10"/>
            <w:tabs>
              <w:tab w:val="right" w:leader="dot" w:pos="8296"/>
            </w:tabs>
            <w:adjustRightInd w:val="0"/>
            <w:snapToGrid w:val="0"/>
            <w:rPr>
              <w:rFonts w:ascii="Times New Roman" w:hAnsi="Times New Roman" w:eastAsia="仿宋_GB2312"/>
              <w:kern w:val="2"/>
              <w:sz w:val="24"/>
              <w:szCs w:val="24"/>
            </w:rPr>
          </w:pPr>
          <w:r>
            <w:fldChar w:fldCharType="begin"/>
          </w:r>
          <w:r>
            <w:instrText xml:space="preserve"> HYPERLINK \l "_Toc123548316" </w:instrText>
          </w:r>
          <w:r>
            <w:fldChar w:fldCharType="separate"/>
          </w:r>
          <w:r>
            <w:rPr>
              <w:rStyle w:val="14"/>
              <w:rFonts w:ascii="Times New Roman" w:hAnsi="Times New Roman" w:eastAsia="仿宋_GB2312"/>
              <w:color w:val="auto"/>
              <w:sz w:val="24"/>
              <w:szCs w:val="24"/>
            </w:rPr>
            <w:t>第五节  完善生态环境执法体系建设</w:t>
          </w:r>
          <w:r>
            <w:rPr>
              <w:rFonts w:ascii="Times New Roman" w:hAnsi="Times New Roman" w:eastAsia="仿宋_GB2312"/>
              <w:sz w:val="24"/>
              <w:szCs w:val="24"/>
            </w:rPr>
            <w:tab/>
          </w:r>
          <w:r>
            <w:rPr>
              <w:rFonts w:ascii="Times New Roman" w:hAnsi="Times New Roman" w:eastAsia="仿宋_GB2312"/>
              <w:sz w:val="24"/>
              <w:szCs w:val="24"/>
            </w:rPr>
            <w:fldChar w:fldCharType="begin"/>
          </w:r>
          <w:r>
            <w:rPr>
              <w:rFonts w:ascii="Times New Roman" w:hAnsi="Times New Roman" w:eastAsia="仿宋_GB2312"/>
              <w:sz w:val="24"/>
              <w:szCs w:val="24"/>
            </w:rPr>
            <w:instrText xml:space="preserve"> PAGEREF _Toc123548316 \h </w:instrText>
          </w:r>
          <w:r>
            <w:rPr>
              <w:rFonts w:ascii="Times New Roman" w:hAnsi="Times New Roman" w:eastAsia="仿宋_GB2312"/>
              <w:sz w:val="24"/>
              <w:szCs w:val="24"/>
            </w:rPr>
            <w:fldChar w:fldCharType="separate"/>
          </w:r>
          <w:r>
            <w:rPr>
              <w:rFonts w:ascii="Times New Roman" w:hAnsi="Times New Roman" w:eastAsia="仿宋_GB2312"/>
              <w:sz w:val="24"/>
              <w:szCs w:val="24"/>
            </w:rPr>
            <w:t>50</w:t>
          </w:r>
          <w:r>
            <w:rPr>
              <w:rFonts w:ascii="Times New Roman" w:hAnsi="Times New Roman" w:eastAsia="仿宋_GB2312"/>
              <w:sz w:val="24"/>
              <w:szCs w:val="24"/>
            </w:rPr>
            <w:fldChar w:fldCharType="end"/>
          </w:r>
          <w:r>
            <w:rPr>
              <w:rFonts w:ascii="Times New Roman" w:hAnsi="Times New Roman" w:eastAsia="仿宋_GB2312"/>
              <w:sz w:val="24"/>
              <w:szCs w:val="24"/>
            </w:rPr>
            <w:fldChar w:fldCharType="end"/>
          </w:r>
        </w:p>
        <w:p>
          <w:pPr>
            <w:pStyle w:val="9"/>
            <w:rPr>
              <w:rFonts w:ascii="Times New Roman" w:hAnsi="Times New Roman" w:eastAsia="仿宋_GB2312"/>
              <w:b w:val="0"/>
              <w:bCs w:val="0"/>
              <w:kern w:val="2"/>
              <w:sz w:val="24"/>
              <w:szCs w:val="24"/>
            </w:rPr>
          </w:pPr>
          <w:r>
            <w:fldChar w:fldCharType="begin"/>
          </w:r>
          <w:r>
            <w:instrText xml:space="preserve"> HYPERLINK \l "_Toc123548317" </w:instrText>
          </w:r>
          <w:r>
            <w:fldChar w:fldCharType="separate"/>
          </w:r>
          <w:r>
            <w:rPr>
              <w:rStyle w:val="14"/>
              <w:rFonts w:ascii="Times New Roman" w:hAnsi="Times New Roman" w:eastAsia="仿宋_GB2312"/>
              <w:color w:val="auto"/>
              <w:sz w:val="24"/>
              <w:szCs w:val="24"/>
            </w:rPr>
            <w:t>第十一章  强化规划保障措施，确保规划顺利实施</w:t>
          </w:r>
          <w:r>
            <w:rPr>
              <w:rFonts w:ascii="Times New Roman" w:hAnsi="Times New Roman" w:eastAsia="仿宋_GB2312"/>
              <w:sz w:val="24"/>
              <w:szCs w:val="24"/>
            </w:rPr>
            <w:tab/>
          </w:r>
          <w:r>
            <w:rPr>
              <w:rFonts w:ascii="Times New Roman" w:hAnsi="Times New Roman" w:eastAsia="仿宋_GB2312"/>
              <w:sz w:val="24"/>
              <w:szCs w:val="24"/>
            </w:rPr>
            <w:fldChar w:fldCharType="begin"/>
          </w:r>
          <w:r>
            <w:rPr>
              <w:rFonts w:ascii="Times New Roman" w:hAnsi="Times New Roman" w:eastAsia="仿宋_GB2312"/>
              <w:sz w:val="24"/>
              <w:szCs w:val="24"/>
            </w:rPr>
            <w:instrText xml:space="preserve"> PAGEREF _Toc123548317 \h </w:instrText>
          </w:r>
          <w:r>
            <w:rPr>
              <w:rFonts w:ascii="Times New Roman" w:hAnsi="Times New Roman" w:eastAsia="仿宋_GB2312"/>
              <w:sz w:val="24"/>
              <w:szCs w:val="24"/>
            </w:rPr>
            <w:fldChar w:fldCharType="separate"/>
          </w:r>
          <w:r>
            <w:rPr>
              <w:rFonts w:ascii="Times New Roman" w:hAnsi="Times New Roman" w:eastAsia="仿宋_GB2312"/>
              <w:sz w:val="24"/>
              <w:szCs w:val="24"/>
            </w:rPr>
            <w:t>52</w:t>
          </w:r>
          <w:r>
            <w:rPr>
              <w:rFonts w:ascii="Times New Roman" w:hAnsi="Times New Roman" w:eastAsia="仿宋_GB2312"/>
              <w:sz w:val="24"/>
              <w:szCs w:val="24"/>
            </w:rPr>
            <w:fldChar w:fldCharType="end"/>
          </w:r>
          <w:r>
            <w:rPr>
              <w:rFonts w:ascii="Times New Roman" w:hAnsi="Times New Roman" w:eastAsia="仿宋_GB2312"/>
              <w:sz w:val="24"/>
              <w:szCs w:val="24"/>
            </w:rPr>
            <w:fldChar w:fldCharType="end"/>
          </w:r>
        </w:p>
        <w:p>
          <w:pPr>
            <w:pStyle w:val="10"/>
            <w:tabs>
              <w:tab w:val="right" w:leader="dot" w:pos="8296"/>
            </w:tabs>
            <w:adjustRightInd w:val="0"/>
            <w:snapToGrid w:val="0"/>
            <w:rPr>
              <w:rFonts w:ascii="Times New Roman" w:hAnsi="Times New Roman" w:eastAsia="仿宋_GB2312"/>
              <w:kern w:val="2"/>
              <w:sz w:val="24"/>
              <w:szCs w:val="24"/>
            </w:rPr>
          </w:pPr>
          <w:r>
            <w:fldChar w:fldCharType="begin"/>
          </w:r>
          <w:r>
            <w:instrText xml:space="preserve"> HYPERLINK \l "_Toc123548318" </w:instrText>
          </w:r>
          <w:r>
            <w:fldChar w:fldCharType="separate"/>
          </w:r>
          <w:r>
            <w:rPr>
              <w:rStyle w:val="14"/>
              <w:rFonts w:ascii="Times New Roman" w:hAnsi="Times New Roman" w:eastAsia="仿宋_GB2312"/>
              <w:color w:val="auto"/>
              <w:sz w:val="24"/>
              <w:szCs w:val="24"/>
            </w:rPr>
            <w:t>第一节  加强组织领导</w:t>
          </w:r>
          <w:r>
            <w:rPr>
              <w:rFonts w:ascii="Times New Roman" w:hAnsi="Times New Roman" w:eastAsia="仿宋_GB2312"/>
              <w:sz w:val="24"/>
              <w:szCs w:val="24"/>
            </w:rPr>
            <w:tab/>
          </w:r>
          <w:r>
            <w:rPr>
              <w:rFonts w:ascii="Times New Roman" w:hAnsi="Times New Roman" w:eastAsia="仿宋_GB2312"/>
              <w:sz w:val="24"/>
              <w:szCs w:val="24"/>
            </w:rPr>
            <w:fldChar w:fldCharType="begin"/>
          </w:r>
          <w:r>
            <w:rPr>
              <w:rFonts w:ascii="Times New Roman" w:hAnsi="Times New Roman" w:eastAsia="仿宋_GB2312"/>
              <w:sz w:val="24"/>
              <w:szCs w:val="24"/>
            </w:rPr>
            <w:instrText xml:space="preserve"> PAGEREF _Toc123548318 \h </w:instrText>
          </w:r>
          <w:r>
            <w:rPr>
              <w:rFonts w:ascii="Times New Roman" w:hAnsi="Times New Roman" w:eastAsia="仿宋_GB2312"/>
              <w:sz w:val="24"/>
              <w:szCs w:val="24"/>
            </w:rPr>
            <w:fldChar w:fldCharType="separate"/>
          </w:r>
          <w:r>
            <w:rPr>
              <w:rFonts w:ascii="Times New Roman" w:hAnsi="Times New Roman" w:eastAsia="仿宋_GB2312"/>
              <w:sz w:val="24"/>
              <w:szCs w:val="24"/>
            </w:rPr>
            <w:t>52</w:t>
          </w:r>
          <w:r>
            <w:rPr>
              <w:rFonts w:ascii="Times New Roman" w:hAnsi="Times New Roman" w:eastAsia="仿宋_GB2312"/>
              <w:sz w:val="24"/>
              <w:szCs w:val="24"/>
            </w:rPr>
            <w:fldChar w:fldCharType="end"/>
          </w:r>
          <w:r>
            <w:rPr>
              <w:rFonts w:ascii="Times New Roman" w:hAnsi="Times New Roman" w:eastAsia="仿宋_GB2312"/>
              <w:sz w:val="24"/>
              <w:szCs w:val="24"/>
            </w:rPr>
            <w:fldChar w:fldCharType="end"/>
          </w:r>
        </w:p>
        <w:p>
          <w:pPr>
            <w:pStyle w:val="10"/>
            <w:tabs>
              <w:tab w:val="right" w:leader="dot" w:pos="8296"/>
            </w:tabs>
            <w:adjustRightInd w:val="0"/>
            <w:snapToGrid w:val="0"/>
            <w:rPr>
              <w:rFonts w:ascii="Times New Roman" w:hAnsi="Times New Roman" w:eastAsia="仿宋_GB2312"/>
              <w:kern w:val="2"/>
              <w:sz w:val="24"/>
              <w:szCs w:val="24"/>
            </w:rPr>
          </w:pPr>
          <w:r>
            <w:fldChar w:fldCharType="begin"/>
          </w:r>
          <w:r>
            <w:instrText xml:space="preserve"> HYPERLINK \l "_Toc123548319" </w:instrText>
          </w:r>
          <w:r>
            <w:fldChar w:fldCharType="separate"/>
          </w:r>
          <w:r>
            <w:rPr>
              <w:rStyle w:val="14"/>
              <w:rFonts w:ascii="Times New Roman" w:hAnsi="Times New Roman" w:eastAsia="仿宋_GB2312"/>
              <w:color w:val="auto"/>
              <w:sz w:val="24"/>
              <w:szCs w:val="24"/>
            </w:rPr>
            <w:t>第二节  落实资金保障</w:t>
          </w:r>
          <w:r>
            <w:rPr>
              <w:rFonts w:ascii="Times New Roman" w:hAnsi="Times New Roman" w:eastAsia="仿宋_GB2312"/>
              <w:sz w:val="24"/>
              <w:szCs w:val="24"/>
            </w:rPr>
            <w:tab/>
          </w:r>
          <w:r>
            <w:rPr>
              <w:rFonts w:ascii="Times New Roman" w:hAnsi="Times New Roman" w:eastAsia="仿宋_GB2312"/>
              <w:sz w:val="24"/>
              <w:szCs w:val="24"/>
            </w:rPr>
            <w:fldChar w:fldCharType="begin"/>
          </w:r>
          <w:r>
            <w:rPr>
              <w:rFonts w:ascii="Times New Roman" w:hAnsi="Times New Roman" w:eastAsia="仿宋_GB2312"/>
              <w:sz w:val="24"/>
              <w:szCs w:val="24"/>
            </w:rPr>
            <w:instrText xml:space="preserve"> PAGEREF _Toc123548319 \h </w:instrText>
          </w:r>
          <w:r>
            <w:rPr>
              <w:rFonts w:ascii="Times New Roman" w:hAnsi="Times New Roman" w:eastAsia="仿宋_GB2312"/>
              <w:sz w:val="24"/>
              <w:szCs w:val="24"/>
            </w:rPr>
            <w:fldChar w:fldCharType="separate"/>
          </w:r>
          <w:r>
            <w:rPr>
              <w:rFonts w:ascii="Times New Roman" w:hAnsi="Times New Roman" w:eastAsia="仿宋_GB2312"/>
              <w:sz w:val="24"/>
              <w:szCs w:val="24"/>
            </w:rPr>
            <w:t>52</w:t>
          </w:r>
          <w:r>
            <w:rPr>
              <w:rFonts w:ascii="Times New Roman" w:hAnsi="Times New Roman" w:eastAsia="仿宋_GB2312"/>
              <w:sz w:val="24"/>
              <w:szCs w:val="24"/>
            </w:rPr>
            <w:fldChar w:fldCharType="end"/>
          </w:r>
          <w:r>
            <w:rPr>
              <w:rFonts w:ascii="Times New Roman" w:hAnsi="Times New Roman" w:eastAsia="仿宋_GB2312"/>
              <w:sz w:val="24"/>
              <w:szCs w:val="24"/>
            </w:rPr>
            <w:fldChar w:fldCharType="end"/>
          </w:r>
        </w:p>
        <w:p>
          <w:pPr>
            <w:pStyle w:val="10"/>
            <w:tabs>
              <w:tab w:val="right" w:leader="dot" w:pos="8296"/>
            </w:tabs>
            <w:adjustRightInd w:val="0"/>
            <w:snapToGrid w:val="0"/>
            <w:rPr>
              <w:rFonts w:ascii="Times New Roman" w:hAnsi="Times New Roman" w:eastAsia="仿宋_GB2312"/>
              <w:kern w:val="2"/>
              <w:sz w:val="24"/>
              <w:szCs w:val="24"/>
            </w:rPr>
          </w:pPr>
          <w:r>
            <w:fldChar w:fldCharType="begin"/>
          </w:r>
          <w:r>
            <w:instrText xml:space="preserve"> HYPERLINK \l "_Toc123548320" </w:instrText>
          </w:r>
          <w:r>
            <w:fldChar w:fldCharType="separate"/>
          </w:r>
          <w:r>
            <w:rPr>
              <w:rStyle w:val="14"/>
              <w:rFonts w:ascii="Times New Roman" w:hAnsi="Times New Roman" w:eastAsia="仿宋_GB2312"/>
              <w:color w:val="auto"/>
              <w:sz w:val="24"/>
              <w:szCs w:val="24"/>
            </w:rPr>
            <w:t>第三节  强化监管考核</w:t>
          </w:r>
          <w:r>
            <w:rPr>
              <w:rFonts w:ascii="Times New Roman" w:hAnsi="Times New Roman" w:eastAsia="仿宋_GB2312"/>
              <w:sz w:val="24"/>
              <w:szCs w:val="24"/>
            </w:rPr>
            <w:tab/>
          </w:r>
          <w:r>
            <w:rPr>
              <w:rFonts w:ascii="Times New Roman" w:hAnsi="Times New Roman" w:eastAsia="仿宋_GB2312"/>
              <w:sz w:val="24"/>
              <w:szCs w:val="24"/>
            </w:rPr>
            <w:fldChar w:fldCharType="begin"/>
          </w:r>
          <w:r>
            <w:rPr>
              <w:rFonts w:ascii="Times New Roman" w:hAnsi="Times New Roman" w:eastAsia="仿宋_GB2312"/>
              <w:sz w:val="24"/>
              <w:szCs w:val="24"/>
            </w:rPr>
            <w:instrText xml:space="preserve"> PAGEREF _Toc123548320 \h </w:instrText>
          </w:r>
          <w:r>
            <w:rPr>
              <w:rFonts w:ascii="Times New Roman" w:hAnsi="Times New Roman" w:eastAsia="仿宋_GB2312"/>
              <w:sz w:val="24"/>
              <w:szCs w:val="24"/>
            </w:rPr>
            <w:fldChar w:fldCharType="separate"/>
          </w:r>
          <w:r>
            <w:rPr>
              <w:rFonts w:ascii="Times New Roman" w:hAnsi="Times New Roman" w:eastAsia="仿宋_GB2312"/>
              <w:sz w:val="24"/>
              <w:szCs w:val="24"/>
            </w:rPr>
            <w:t>53</w:t>
          </w:r>
          <w:r>
            <w:rPr>
              <w:rFonts w:ascii="Times New Roman" w:hAnsi="Times New Roman" w:eastAsia="仿宋_GB2312"/>
              <w:sz w:val="24"/>
              <w:szCs w:val="24"/>
            </w:rPr>
            <w:fldChar w:fldCharType="end"/>
          </w:r>
          <w:r>
            <w:rPr>
              <w:rFonts w:ascii="Times New Roman" w:hAnsi="Times New Roman" w:eastAsia="仿宋_GB2312"/>
              <w:sz w:val="24"/>
              <w:szCs w:val="24"/>
            </w:rPr>
            <w:fldChar w:fldCharType="end"/>
          </w:r>
        </w:p>
        <w:p>
          <w:pPr>
            <w:pStyle w:val="10"/>
            <w:tabs>
              <w:tab w:val="right" w:leader="dot" w:pos="8296"/>
            </w:tabs>
            <w:adjustRightInd w:val="0"/>
            <w:snapToGrid w:val="0"/>
            <w:rPr>
              <w:rFonts w:ascii="Times New Roman" w:hAnsi="Times New Roman" w:eastAsia="仿宋_GB2312"/>
              <w:kern w:val="2"/>
              <w:sz w:val="24"/>
              <w:szCs w:val="24"/>
            </w:rPr>
          </w:pPr>
          <w:r>
            <w:fldChar w:fldCharType="begin"/>
          </w:r>
          <w:r>
            <w:instrText xml:space="preserve"> HYPERLINK \l "_Toc123548321" </w:instrText>
          </w:r>
          <w:r>
            <w:fldChar w:fldCharType="separate"/>
          </w:r>
          <w:r>
            <w:rPr>
              <w:rStyle w:val="14"/>
              <w:rFonts w:ascii="Times New Roman" w:hAnsi="Times New Roman" w:eastAsia="仿宋_GB2312"/>
              <w:color w:val="auto"/>
              <w:sz w:val="24"/>
              <w:szCs w:val="24"/>
            </w:rPr>
            <w:t>第四节  强化人才支撑</w:t>
          </w:r>
          <w:r>
            <w:rPr>
              <w:rFonts w:ascii="Times New Roman" w:hAnsi="Times New Roman" w:eastAsia="仿宋_GB2312"/>
              <w:sz w:val="24"/>
              <w:szCs w:val="24"/>
            </w:rPr>
            <w:tab/>
          </w:r>
          <w:r>
            <w:rPr>
              <w:rFonts w:ascii="Times New Roman" w:hAnsi="Times New Roman" w:eastAsia="仿宋_GB2312"/>
              <w:sz w:val="24"/>
              <w:szCs w:val="24"/>
            </w:rPr>
            <w:fldChar w:fldCharType="begin"/>
          </w:r>
          <w:r>
            <w:rPr>
              <w:rFonts w:ascii="Times New Roman" w:hAnsi="Times New Roman" w:eastAsia="仿宋_GB2312"/>
              <w:sz w:val="24"/>
              <w:szCs w:val="24"/>
            </w:rPr>
            <w:instrText xml:space="preserve"> PAGEREF _Toc123548321 \h </w:instrText>
          </w:r>
          <w:r>
            <w:rPr>
              <w:rFonts w:ascii="Times New Roman" w:hAnsi="Times New Roman" w:eastAsia="仿宋_GB2312"/>
              <w:sz w:val="24"/>
              <w:szCs w:val="24"/>
            </w:rPr>
            <w:fldChar w:fldCharType="separate"/>
          </w:r>
          <w:r>
            <w:rPr>
              <w:rFonts w:ascii="Times New Roman" w:hAnsi="Times New Roman" w:eastAsia="仿宋_GB2312"/>
              <w:sz w:val="24"/>
              <w:szCs w:val="24"/>
            </w:rPr>
            <w:t>53</w:t>
          </w:r>
          <w:r>
            <w:rPr>
              <w:rFonts w:ascii="Times New Roman" w:hAnsi="Times New Roman" w:eastAsia="仿宋_GB2312"/>
              <w:sz w:val="24"/>
              <w:szCs w:val="24"/>
            </w:rPr>
            <w:fldChar w:fldCharType="end"/>
          </w:r>
          <w:r>
            <w:rPr>
              <w:rFonts w:ascii="Times New Roman" w:hAnsi="Times New Roman" w:eastAsia="仿宋_GB2312"/>
              <w:sz w:val="24"/>
              <w:szCs w:val="24"/>
            </w:rPr>
            <w:fldChar w:fldCharType="end"/>
          </w:r>
        </w:p>
        <w:p>
          <w:pPr>
            <w:pStyle w:val="10"/>
            <w:tabs>
              <w:tab w:val="right" w:leader="dot" w:pos="8296"/>
            </w:tabs>
            <w:adjustRightInd w:val="0"/>
            <w:snapToGrid w:val="0"/>
            <w:rPr>
              <w:rFonts w:ascii="Times New Roman" w:hAnsi="Times New Roman" w:eastAsia="仿宋_GB2312"/>
              <w:kern w:val="2"/>
              <w:sz w:val="24"/>
              <w:szCs w:val="24"/>
            </w:rPr>
          </w:pPr>
          <w:r>
            <w:fldChar w:fldCharType="begin"/>
          </w:r>
          <w:r>
            <w:instrText xml:space="preserve"> HYPERLINK \l "_Toc123548322" </w:instrText>
          </w:r>
          <w:r>
            <w:fldChar w:fldCharType="separate"/>
          </w:r>
          <w:r>
            <w:rPr>
              <w:rStyle w:val="14"/>
              <w:rFonts w:ascii="Times New Roman" w:hAnsi="Times New Roman" w:eastAsia="仿宋_GB2312"/>
              <w:color w:val="auto"/>
              <w:sz w:val="24"/>
              <w:szCs w:val="24"/>
            </w:rPr>
            <w:t>第五节  开展评估督导</w:t>
          </w:r>
          <w:r>
            <w:rPr>
              <w:rFonts w:ascii="Times New Roman" w:hAnsi="Times New Roman" w:eastAsia="仿宋_GB2312"/>
              <w:sz w:val="24"/>
              <w:szCs w:val="24"/>
            </w:rPr>
            <w:tab/>
          </w:r>
          <w:r>
            <w:rPr>
              <w:rFonts w:ascii="Times New Roman" w:hAnsi="Times New Roman" w:eastAsia="仿宋_GB2312"/>
              <w:sz w:val="24"/>
              <w:szCs w:val="24"/>
            </w:rPr>
            <w:fldChar w:fldCharType="begin"/>
          </w:r>
          <w:r>
            <w:rPr>
              <w:rFonts w:ascii="Times New Roman" w:hAnsi="Times New Roman" w:eastAsia="仿宋_GB2312"/>
              <w:sz w:val="24"/>
              <w:szCs w:val="24"/>
            </w:rPr>
            <w:instrText xml:space="preserve"> PAGEREF _Toc123548322 \h </w:instrText>
          </w:r>
          <w:r>
            <w:rPr>
              <w:rFonts w:ascii="Times New Roman" w:hAnsi="Times New Roman" w:eastAsia="仿宋_GB2312"/>
              <w:sz w:val="24"/>
              <w:szCs w:val="24"/>
            </w:rPr>
            <w:fldChar w:fldCharType="separate"/>
          </w:r>
          <w:r>
            <w:rPr>
              <w:rFonts w:ascii="Times New Roman" w:hAnsi="Times New Roman" w:eastAsia="仿宋_GB2312"/>
              <w:sz w:val="24"/>
              <w:szCs w:val="24"/>
            </w:rPr>
            <w:t>53</w:t>
          </w:r>
          <w:r>
            <w:rPr>
              <w:rFonts w:ascii="Times New Roman" w:hAnsi="Times New Roman" w:eastAsia="仿宋_GB2312"/>
              <w:sz w:val="24"/>
              <w:szCs w:val="24"/>
            </w:rPr>
            <w:fldChar w:fldCharType="end"/>
          </w:r>
          <w:r>
            <w:rPr>
              <w:rFonts w:ascii="Times New Roman" w:hAnsi="Times New Roman" w:eastAsia="仿宋_GB2312"/>
              <w:sz w:val="24"/>
              <w:szCs w:val="24"/>
            </w:rPr>
            <w:fldChar w:fldCharType="end"/>
          </w:r>
        </w:p>
        <w:p>
          <w:pPr>
            <w:pStyle w:val="10"/>
            <w:tabs>
              <w:tab w:val="right" w:leader="dot" w:pos="8296"/>
            </w:tabs>
            <w:adjustRightInd w:val="0"/>
            <w:snapToGrid w:val="0"/>
            <w:rPr>
              <w:rFonts w:ascii="Times New Roman" w:hAnsi="Times New Roman" w:eastAsia="仿宋_GB2312"/>
              <w:kern w:val="2"/>
              <w:sz w:val="24"/>
              <w:szCs w:val="24"/>
            </w:rPr>
          </w:pPr>
          <w:r>
            <w:fldChar w:fldCharType="begin"/>
          </w:r>
          <w:r>
            <w:instrText xml:space="preserve"> HYPERLINK \l "_Toc123548323" </w:instrText>
          </w:r>
          <w:r>
            <w:fldChar w:fldCharType="separate"/>
          </w:r>
          <w:r>
            <w:rPr>
              <w:rStyle w:val="14"/>
              <w:rFonts w:ascii="Times New Roman" w:hAnsi="Times New Roman" w:eastAsia="仿宋_GB2312"/>
              <w:color w:val="auto"/>
              <w:sz w:val="24"/>
              <w:szCs w:val="24"/>
            </w:rPr>
            <w:t>第六节  加强社会监督</w:t>
          </w:r>
          <w:r>
            <w:rPr>
              <w:rFonts w:ascii="Times New Roman" w:hAnsi="Times New Roman" w:eastAsia="仿宋_GB2312"/>
              <w:sz w:val="24"/>
              <w:szCs w:val="24"/>
            </w:rPr>
            <w:tab/>
          </w:r>
          <w:r>
            <w:rPr>
              <w:rFonts w:ascii="Times New Roman" w:hAnsi="Times New Roman" w:eastAsia="仿宋_GB2312"/>
              <w:sz w:val="24"/>
              <w:szCs w:val="24"/>
            </w:rPr>
            <w:fldChar w:fldCharType="begin"/>
          </w:r>
          <w:r>
            <w:rPr>
              <w:rFonts w:ascii="Times New Roman" w:hAnsi="Times New Roman" w:eastAsia="仿宋_GB2312"/>
              <w:sz w:val="24"/>
              <w:szCs w:val="24"/>
            </w:rPr>
            <w:instrText xml:space="preserve"> PAGEREF _Toc123548323 \h </w:instrText>
          </w:r>
          <w:r>
            <w:rPr>
              <w:rFonts w:ascii="Times New Roman" w:hAnsi="Times New Roman" w:eastAsia="仿宋_GB2312"/>
              <w:sz w:val="24"/>
              <w:szCs w:val="24"/>
            </w:rPr>
            <w:fldChar w:fldCharType="separate"/>
          </w:r>
          <w:r>
            <w:rPr>
              <w:rFonts w:ascii="Times New Roman" w:hAnsi="Times New Roman" w:eastAsia="仿宋_GB2312"/>
              <w:sz w:val="24"/>
              <w:szCs w:val="24"/>
            </w:rPr>
            <w:t>54</w:t>
          </w:r>
          <w:r>
            <w:rPr>
              <w:rFonts w:ascii="Times New Roman" w:hAnsi="Times New Roman" w:eastAsia="仿宋_GB2312"/>
              <w:sz w:val="24"/>
              <w:szCs w:val="24"/>
            </w:rPr>
            <w:fldChar w:fldCharType="end"/>
          </w:r>
          <w:r>
            <w:rPr>
              <w:rFonts w:ascii="Times New Roman" w:hAnsi="Times New Roman" w:eastAsia="仿宋_GB2312"/>
              <w:sz w:val="24"/>
              <w:szCs w:val="24"/>
            </w:rPr>
            <w:fldChar w:fldCharType="end"/>
          </w:r>
        </w:p>
        <w:p>
          <w:pPr>
            <w:spacing w:after="100" w:line="240" w:lineRule="auto"/>
            <w:rPr>
              <w:rFonts w:cs="Times New Roman"/>
              <w:sz w:val="24"/>
            </w:rPr>
          </w:pPr>
          <w:r>
            <w:rPr>
              <w:rFonts w:cs="Times New Roman"/>
              <w:bCs/>
              <w:sz w:val="24"/>
              <w:lang w:val="zh-CN"/>
            </w:rPr>
            <w:fldChar w:fldCharType="end"/>
          </w:r>
        </w:p>
      </w:sdtContent>
    </w:sdt>
    <w:p>
      <w:pPr>
        <w:pStyle w:val="10"/>
        <w:adjustRightInd w:val="0"/>
        <w:snapToGrid w:val="0"/>
        <w:spacing w:line="240" w:lineRule="auto"/>
        <w:ind w:left="216"/>
        <w:rPr>
          <w:rFonts w:ascii="仿宋" w:hAnsi="仿宋" w:eastAsia="仿宋" w:cs="仿宋"/>
          <w:sz w:val="24"/>
          <w:szCs w:val="24"/>
        </w:rPr>
        <w:sectPr>
          <w:pgSz w:w="11906" w:h="16838"/>
          <w:pgMar w:top="1440" w:right="1800" w:bottom="1440" w:left="1800" w:header="851" w:footer="992" w:gutter="0"/>
          <w:cols w:space="425" w:num="1"/>
          <w:docGrid w:type="lines" w:linePitch="312" w:charSpace="0"/>
        </w:sectPr>
      </w:pPr>
    </w:p>
    <w:p>
      <w:pPr>
        <w:jc w:val="center"/>
        <w:rPr>
          <w:b/>
          <w:bCs/>
          <w:sz w:val="36"/>
          <w:szCs w:val="36"/>
        </w:rPr>
      </w:pPr>
      <w:r>
        <w:rPr>
          <w:rFonts w:hint="eastAsia"/>
          <w:b/>
          <w:bCs/>
          <w:sz w:val="36"/>
          <w:szCs w:val="36"/>
        </w:rPr>
        <w:t xml:space="preserve">前 </w:t>
      </w:r>
      <w:r>
        <w:rPr>
          <w:b/>
          <w:bCs/>
          <w:sz w:val="36"/>
          <w:szCs w:val="36"/>
        </w:rPr>
        <w:t xml:space="preserve"> </w:t>
      </w:r>
      <w:r>
        <w:rPr>
          <w:rFonts w:hint="eastAsia"/>
          <w:b/>
          <w:bCs/>
          <w:sz w:val="36"/>
          <w:szCs w:val="36"/>
        </w:rPr>
        <w:t>言</w:t>
      </w:r>
    </w:p>
    <w:p>
      <w:pPr>
        <w:ind w:firstLine="600" w:firstLineChars="200"/>
      </w:pPr>
      <w:r>
        <w:rPr>
          <w:rFonts w:hint="eastAsia"/>
        </w:rPr>
        <w:t>“十四五”时期（2021-2025年）是我国全面建成小康社会、实现第一个百年奋斗目标之后，乘势而上开启全面建设社会主义现代化国家新征程、向第二个百年奋斗目标进军的第一个五年，也是我市走好以生态优先、绿色发展为导向的高质量发展新路子，实现新的更大发展的关键时期。以习近平新时代中国特色社会主义思想为指导，全面贯彻党的十九大和十九届历次全会精神，认真落实习近平生态文明思想和习近平总书记对内蒙古重要讲话重要指示批示精神，牢固树立“绿水青山就是金山银山”的理念，根据《满洲里市国民经济和社会发展第十四个五年规划和2035年远景目标纲要》，以及《内蒙古自治区“十四五”生态环境保护规划》和《呼伦贝尔市“十四五”生态环境保护规划》，编制《满洲里市“十四五”生态环境保护规划》（以下简称“规划”），作为全市“十四五”期间生态环境保护工作的行动纲领。</w:t>
      </w:r>
    </w:p>
    <w:p>
      <w:pPr>
        <w:ind w:firstLine="600" w:firstLineChars="200"/>
      </w:pPr>
    </w:p>
    <w:p>
      <w:pPr>
        <w:ind w:firstLine="600" w:firstLineChars="200"/>
      </w:pPr>
    </w:p>
    <w:p>
      <w:pPr>
        <w:ind w:firstLine="600" w:firstLineChars="200"/>
        <w:sectPr>
          <w:pgSz w:w="11906" w:h="16838"/>
          <w:pgMar w:top="1440" w:right="1800" w:bottom="1440" w:left="1800" w:header="851" w:footer="992" w:gutter="0"/>
          <w:cols w:space="425" w:num="1"/>
          <w:docGrid w:type="lines" w:linePitch="312" w:charSpace="0"/>
        </w:sectPr>
      </w:pPr>
    </w:p>
    <w:p>
      <w:pPr>
        <w:pStyle w:val="3"/>
        <w:spacing w:before="408" w:after="204"/>
      </w:pPr>
      <w:bookmarkStart w:id="0" w:name="_Toc123548267"/>
      <w:r>
        <w:t>第一章</w:t>
      </w:r>
      <w:r>
        <w:rPr>
          <w:rFonts w:hint="eastAsia"/>
        </w:rPr>
        <w:t xml:space="preserve"> </w:t>
      </w:r>
      <w:r>
        <w:t xml:space="preserve"> </w:t>
      </w:r>
      <w:r>
        <w:rPr>
          <w:rFonts w:hint="eastAsia"/>
        </w:rPr>
        <w:t>生态环境保护成就与形势</w:t>
      </w:r>
      <w:bookmarkEnd w:id="0"/>
    </w:p>
    <w:p>
      <w:pPr>
        <w:pStyle w:val="4"/>
      </w:pPr>
      <w:bookmarkStart w:id="1" w:name="_Toc123548268"/>
      <w:r>
        <w:rPr>
          <w:rFonts w:hint="eastAsia"/>
        </w:rPr>
        <w:t xml:space="preserve">第一节 </w:t>
      </w:r>
      <w:r>
        <w:t xml:space="preserve"> </w:t>
      </w:r>
      <w:r>
        <w:rPr>
          <w:rFonts w:hint="eastAsia"/>
        </w:rPr>
        <w:t>生态环境保护工作取得新成就</w:t>
      </w:r>
      <w:bookmarkEnd w:id="1"/>
    </w:p>
    <w:p>
      <w:pPr>
        <w:ind w:firstLine="600" w:firstLineChars="200"/>
      </w:pPr>
      <w:r>
        <w:rPr>
          <w:rFonts w:hint="eastAsia"/>
        </w:rPr>
        <w:t>“十三五”以来，全市上下始终牢记习近平总书记“努力把内蒙古建成我国北方重要生态安全屏障”的殷切嘱托，深入贯彻中央、自治区、呼伦贝尔市生态文明建设和生态环境保护的决策部署，以绿色发展理念为引领、改善生态环境质量为核心、加强生态文明建设为保障，认真落实大气、水、土壤污染防治行动计划，环境保护工作取得显著成效。</w:t>
      </w:r>
    </w:p>
    <w:p>
      <w:pPr>
        <w:ind w:firstLine="602" w:firstLineChars="200"/>
        <w:rPr>
          <w:rFonts w:ascii="仿宋_GB2312"/>
          <w:szCs w:val="30"/>
        </w:rPr>
      </w:pPr>
      <w:r>
        <w:rPr>
          <w:b/>
          <w:bCs/>
        </w:rPr>
        <w:t>生态文明制度建设取得积极进展。</w:t>
      </w:r>
      <w:r>
        <w:t>生态文明制度建设日益完善</w:t>
      </w:r>
      <w:r>
        <w:rPr>
          <w:rFonts w:hint="eastAsia"/>
        </w:rPr>
        <w:t>，制定</w:t>
      </w:r>
      <w:r>
        <w:rPr>
          <w:rFonts w:hint="eastAsia" w:cs="Times New Roman"/>
        </w:rPr>
        <w:t>《满洲里市污染防治攻坚战行动计划》《满洲里市打赢蓝天保卫战三年行动计划实施方案》《满洲里市水污染防治三年攻坚计划》《满洲里市土壤污染防治三年攻坚计划》</w:t>
      </w:r>
      <w:r>
        <w:rPr>
          <w:rFonts w:hint="eastAsia"/>
        </w:rPr>
        <w:t>《满洲里市挥发性有机物综合整治工作方案》</w:t>
      </w:r>
      <w:r>
        <w:rPr>
          <w:rFonts w:hint="eastAsia" w:cs="Times New Roman"/>
        </w:rPr>
        <w:t>《满洲里市建成区内10蒸吨及以下燃煤锅炉淘汰整治三年工作实施方案（2018年-2020年）》</w:t>
      </w:r>
      <w:r>
        <w:rPr>
          <w:rFonts w:hint="eastAsia"/>
        </w:rPr>
        <w:t>《满洲里市散煤综合整治工作方案》《满洲里市“散乱污”工业企业综合整治专项行动方案》</w:t>
      </w:r>
      <w:r>
        <w:rPr>
          <w:rFonts w:hint="eastAsia" w:cs="Times New Roman"/>
        </w:rPr>
        <w:t>等一系列工作方案</w:t>
      </w:r>
      <w:r>
        <w:rPr>
          <w:rFonts w:hint="eastAsia"/>
        </w:rPr>
        <w:t>，扎实推进污染防治攻坚战。</w:t>
      </w:r>
      <w:r>
        <w:rPr>
          <w:rFonts w:hint="eastAsia" w:ascii="仿宋_GB2312" w:hAnsi="仿宋"/>
          <w:szCs w:val="30"/>
        </w:rPr>
        <w:t>认真落实《控制污染物排放许可制实施方案》，完成火电行业企业排污许可证申请与核发，完成“大气十条”和“水十条”涉及的重点行业企业许可证核发工作，形成了以排污许可为核心、精简高效的固定源环境管理制度体系。</w:t>
      </w:r>
      <w:r>
        <w:rPr>
          <w:rFonts w:hint="eastAsia"/>
        </w:rPr>
        <w:t>印发实施了《满洲里市各级党委（党工委）和管委会及市有关部门单位生态环境保护责任清单》，</w:t>
      </w:r>
      <w:r>
        <w:t>进一步压实生态环境保护</w:t>
      </w:r>
      <w:r>
        <w:rPr>
          <w:rFonts w:hint="eastAsia"/>
        </w:rPr>
        <w:t>“</w:t>
      </w:r>
      <w:r>
        <w:t>党政同责</w:t>
      </w:r>
      <w:r>
        <w:rPr>
          <w:rFonts w:hint="eastAsia"/>
        </w:rPr>
        <w:t>”、“</w:t>
      </w:r>
      <w:r>
        <w:t>一岗双责</w:t>
      </w:r>
      <w:r>
        <w:rPr>
          <w:rFonts w:hint="eastAsia"/>
        </w:rPr>
        <w:t>”</w:t>
      </w:r>
      <w:r>
        <w:t>。形成</w:t>
      </w:r>
      <w:r>
        <w:rPr>
          <w:rFonts w:hint="eastAsia"/>
        </w:rPr>
        <w:t>《满洲里市环境保护局关于环保机构监测监察执法垂直</w:t>
      </w:r>
      <w:r>
        <w:rPr>
          <w:rFonts w:hint="eastAsia" w:ascii="仿宋_GB2312"/>
          <w:szCs w:val="30"/>
        </w:rPr>
        <w:t>管理制度改革相关情况的报告》，加快推进制度建设，确保机构改革顺利完成。</w:t>
      </w:r>
    </w:p>
    <w:p>
      <w:pPr>
        <w:ind w:firstLine="602" w:firstLineChars="200"/>
        <w:rPr>
          <w:rFonts w:ascii="仿宋_GB2312"/>
          <w:szCs w:val="30"/>
        </w:rPr>
      </w:pPr>
      <w:r>
        <w:rPr>
          <w:rFonts w:hint="eastAsia" w:ascii="仿宋_GB2312"/>
          <w:b/>
          <w:bCs/>
          <w:szCs w:val="30"/>
          <w:lang w:val="zh-CN"/>
        </w:rPr>
        <w:t>生态环</w:t>
      </w:r>
      <w:r>
        <w:rPr>
          <w:b/>
          <w:bCs/>
          <w:szCs w:val="30"/>
          <w:lang w:val="zh-CN"/>
        </w:rPr>
        <w:t>境质量明显改善。</w:t>
      </w:r>
      <w:r>
        <w:rPr>
          <w:rFonts w:hint="eastAsia" w:ascii="仿宋_GB2312"/>
          <w:szCs w:val="30"/>
        </w:rPr>
        <w:t>“十三五”期间，我市空气质量达到优良标准，全市空气质量优良天数比率均</w:t>
      </w:r>
      <w:r>
        <w:rPr>
          <w:rFonts w:hint="eastAsia"/>
        </w:rPr>
        <w:t>达到96%以上，其中</w:t>
      </w:r>
      <w:r>
        <w:t>2018</w:t>
      </w:r>
      <w:r>
        <w:rPr>
          <w:rFonts w:hint="eastAsia"/>
        </w:rPr>
        <w:t>年中心城区细颗粒物（PM</w:t>
      </w:r>
      <w:r>
        <w:rPr>
          <w:rFonts w:hint="eastAsia"/>
          <w:vertAlign w:val="subscript"/>
        </w:rPr>
        <w:t>2.5</w:t>
      </w:r>
      <w:r>
        <w:rPr>
          <w:rFonts w:hint="eastAsia"/>
        </w:rPr>
        <w:t>）年均浓度</w:t>
      </w:r>
      <w:r>
        <w:t>12</w:t>
      </w:r>
      <w:r>
        <w:rPr>
          <w:rFonts w:hint="eastAsia"/>
        </w:rPr>
        <w:t>微克/立方米，</w:t>
      </w:r>
      <w:r>
        <w:t>2019</w:t>
      </w:r>
      <w:r>
        <w:rPr>
          <w:rFonts w:hint="eastAsia"/>
        </w:rPr>
        <w:t>年中心城区细颗粒物（PM</w:t>
      </w:r>
      <w:r>
        <w:rPr>
          <w:rFonts w:hint="eastAsia"/>
          <w:vertAlign w:val="subscript"/>
        </w:rPr>
        <w:t>2.5</w:t>
      </w:r>
      <w:r>
        <w:rPr>
          <w:rFonts w:hint="eastAsia"/>
        </w:rPr>
        <w:t>）年均浓度</w:t>
      </w:r>
      <w:r>
        <w:t>12</w:t>
      </w:r>
      <w:r>
        <w:rPr>
          <w:rFonts w:hint="eastAsia"/>
        </w:rPr>
        <w:t>微克/立方米，</w:t>
      </w:r>
      <w:r>
        <w:t>2020年中心城区</w:t>
      </w:r>
      <w:r>
        <w:rPr>
          <w:rFonts w:hint="eastAsia"/>
        </w:rPr>
        <w:t>细颗粒物（</w:t>
      </w:r>
      <w:r>
        <w:t>PM</w:t>
      </w:r>
      <w:r>
        <w:rPr>
          <w:vertAlign w:val="subscript"/>
        </w:rPr>
        <w:t>2.5</w:t>
      </w:r>
      <w:r>
        <w:rPr>
          <w:rFonts w:hint="eastAsia"/>
        </w:rPr>
        <w:t>）年均浓度10微克/立方米，达到了35微克/立方米以下的呼伦贝尔市考核目标要求。</w:t>
      </w:r>
      <w:r>
        <w:rPr>
          <w:rFonts w:hint="eastAsia" w:ascii="仿宋_GB2312"/>
          <w:szCs w:val="30"/>
        </w:rPr>
        <w:t>地表水、地下水环境质量保持稳定，</w:t>
      </w:r>
      <w:r>
        <w:rPr>
          <w:lang w:val="zh-CN"/>
        </w:rPr>
        <w:t>城市建成区无黑臭水体。</w:t>
      </w:r>
      <w:r>
        <w:rPr>
          <w:rFonts w:hint="eastAsia" w:ascii="仿宋_GB2312"/>
          <w:szCs w:val="30"/>
        </w:rPr>
        <w:t>区域噪声、交通噪声达到国家声功能区标准。</w:t>
      </w:r>
      <w:r>
        <w:t>土壤环境质量总体保持稳定，农用地和建设用地土壤环境安全得到基本保障，环境风险得到基本管控，全面完成农用地土壤污染状况详查点位核查工作。</w:t>
      </w:r>
      <w:r>
        <w:rPr>
          <w:rFonts w:hint="eastAsia"/>
        </w:rPr>
        <w:t>全市生态</w:t>
      </w:r>
      <w:r>
        <w:rPr>
          <w:rFonts w:hint="eastAsia" w:ascii="仿宋_GB2312"/>
          <w:szCs w:val="30"/>
        </w:rPr>
        <w:t>环境质量进一步好转。</w:t>
      </w:r>
    </w:p>
    <w:p>
      <w:pPr>
        <w:ind w:firstLine="640"/>
      </w:pPr>
      <w:r>
        <w:rPr>
          <w:rFonts w:ascii="仿宋_GB2312"/>
          <w:b/>
          <w:bCs/>
          <w:szCs w:val="30"/>
          <w:lang w:val="zh-CN"/>
        </w:rPr>
        <w:t>污染防治攻坚战取得阶段</w:t>
      </w:r>
      <w:r>
        <w:rPr>
          <w:b/>
          <w:bCs/>
          <w:szCs w:val="30"/>
          <w:lang w:val="zh-CN"/>
        </w:rPr>
        <w:t>性胜利。</w:t>
      </w:r>
      <w:r>
        <w:rPr>
          <w:b/>
          <w:bCs/>
          <w:szCs w:val="30"/>
        </w:rPr>
        <w:t>全面推进蓝</w:t>
      </w:r>
      <w:r>
        <w:rPr>
          <w:b/>
          <w:bCs/>
        </w:rPr>
        <w:t>天保卫战。</w:t>
      </w:r>
      <w:r>
        <w:rPr>
          <w:rFonts w:hint="eastAsia"/>
        </w:rPr>
        <w:t>大力</w:t>
      </w:r>
      <w:r>
        <w:t>开展燃煤污染综合治理，制定印发《满洲里市建成区10蒸吨及以下燃煤锅炉淘</w:t>
      </w:r>
      <w:r>
        <w:rPr>
          <w:szCs w:val="30"/>
        </w:rPr>
        <w:t>汰整治三年工作实施方案》，</w:t>
      </w:r>
      <w:r>
        <w:rPr>
          <w:rFonts w:hint="eastAsia"/>
        </w:rPr>
        <w:t>完成我市建成区10蒸吨/小时以下燃煤锅炉淘汰工作，累计查封燃煤锅炉80台。满洲里热电厂5号锅炉完成超低排放改造验收。完成全市高污染燃料禁燃区划定，</w:t>
      </w:r>
      <w:r>
        <w:t>深入查处禁燃区范围内使用高污染燃料违法行为，对1家企业立案调查</w:t>
      </w:r>
      <w:r>
        <w:rPr>
          <w:rFonts w:hint="eastAsia"/>
        </w:rPr>
        <w:t>。2</w:t>
      </w:r>
      <w:r>
        <w:t>016年以来</w:t>
      </w:r>
      <w:r>
        <w:rPr>
          <w:lang w:val="zh-CN"/>
        </w:rPr>
        <w:t>完成平房区集中供热改造</w:t>
      </w:r>
      <w:r>
        <w:t>0.16</w:t>
      </w:r>
      <w:r>
        <w:rPr>
          <w:lang w:val="zh-CN"/>
        </w:rPr>
        <w:t>万户、</w:t>
      </w:r>
      <w:r>
        <w:rPr>
          <w:rFonts w:hint="eastAsia"/>
        </w:rPr>
        <w:t>改造面积20.65万平方米</w:t>
      </w:r>
      <w:r>
        <w:rPr>
          <w:lang w:val="zh-CN"/>
        </w:rPr>
        <w:t>；</w:t>
      </w:r>
      <w:r>
        <w:rPr>
          <w:rFonts w:hint="eastAsia"/>
          <w:lang w:val="zh-CN"/>
        </w:rPr>
        <w:t>原煤散烧量较2015年削减5760吨</w:t>
      </w:r>
      <w:r>
        <w:t>。进行工业企业大气污染治理，</w:t>
      </w:r>
      <w:r>
        <w:rPr>
          <w:rFonts w:hint="eastAsia"/>
        </w:rPr>
        <w:t>6</w:t>
      </w:r>
      <w:r>
        <w:t>家企业完成了废气无组织排放治理，</w:t>
      </w:r>
      <w:r>
        <w:rPr>
          <w:rFonts w:hint="eastAsia"/>
        </w:rPr>
        <w:t>1</w:t>
      </w:r>
      <w:r>
        <w:t>家企业完成了工业窑炉综合治理。</w:t>
      </w:r>
      <w:r>
        <w:rPr>
          <w:rFonts w:hint="eastAsia"/>
        </w:rPr>
        <w:t>开展汽修</w:t>
      </w:r>
      <w:r>
        <w:rPr>
          <w:rFonts w:hint="eastAsia"/>
          <w:szCs w:val="30"/>
        </w:rPr>
        <w:t>行业（喷漆）</w:t>
      </w:r>
      <w:r>
        <w:t>挥发性有机物</w:t>
      </w:r>
      <w:r>
        <w:rPr>
          <w:rFonts w:hint="eastAsia"/>
        </w:rPr>
        <w:t>（</w:t>
      </w:r>
      <w:r>
        <w:rPr>
          <w:rFonts w:hint="eastAsia"/>
          <w:szCs w:val="30"/>
        </w:rPr>
        <w:t>VOCs</w:t>
      </w:r>
      <w:r>
        <w:rPr>
          <w:rFonts w:hint="eastAsia"/>
        </w:rPr>
        <w:t>）</w:t>
      </w:r>
      <w:r>
        <w:rPr>
          <w:rFonts w:hint="eastAsia"/>
          <w:szCs w:val="30"/>
        </w:rPr>
        <w:t>污染治理工作，累计整改汽修厂9家，现均已使用低VOCs原辅材料。深入开展柴油货车路检路查、入户检查工作，累计抽测柴油车尾气超过</w:t>
      </w:r>
      <w:r>
        <w:rPr>
          <w:szCs w:val="30"/>
        </w:rPr>
        <w:t>2888</w:t>
      </w:r>
      <w:r>
        <w:rPr>
          <w:rFonts w:hint="eastAsia"/>
        </w:rPr>
        <w:t>辆。</w:t>
      </w:r>
      <w:r>
        <w:t>完成2座区控空气质量自动监测站点建设。</w:t>
      </w:r>
      <w:r>
        <w:rPr>
          <w:lang w:val="zh-CN"/>
        </w:rPr>
        <w:t>大力整治建筑工地扬尘污染、油烟扰民、露天焚烧、烟花爆竹燃放等环保顽疾，空气质量持续改善。</w:t>
      </w:r>
      <w:r>
        <w:rPr>
          <w:rFonts w:hint="eastAsia"/>
          <w:b/>
          <w:bCs/>
        </w:rPr>
        <w:t>深入推进碧水保卫战。</w:t>
      </w:r>
      <w:r>
        <w:rPr>
          <w:rFonts w:hint="eastAsia"/>
        </w:rPr>
        <w:t>制定完善《满洲里市集中式饮用水水源地突发性水污染事件应急预案》。市污水处理厂一级A升级改造工程项目均已建成，通过环保验收和自主验收。市污水处理厂1.5万吨扩建项目已建成。大力加强地下水污染防治，我市中石油加油站地下罐防渗改造共计</w:t>
      </w:r>
      <w:r>
        <w:t>7</w:t>
      </w:r>
      <w:r>
        <w:rPr>
          <w:rFonts w:hint="eastAsia"/>
        </w:rPr>
        <w:t>个，加油站3</w:t>
      </w:r>
      <w:r>
        <w:t>2</w:t>
      </w:r>
      <w:r>
        <w:rPr>
          <w:rFonts w:hint="eastAsia"/>
        </w:rPr>
        <w:t>个油罐全部完成双层罐改造。</w:t>
      </w:r>
      <w:r>
        <w:rPr>
          <w:rFonts w:hint="eastAsia" w:ascii="仿宋_GB2312" w:hAnsi="仿宋"/>
          <w:szCs w:val="30"/>
        </w:rPr>
        <w:t>强化饮用水水源地环境保护。继续开展集中式饮用水水源保护区环境状况评估工作，加大饮用水水源保护区内违规建设项目清理整顿力度。</w:t>
      </w:r>
      <w:r>
        <w:rPr>
          <w:rFonts w:hint="eastAsia"/>
          <w:b/>
          <w:bCs/>
        </w:rPr>
        <w:t>全力推进净土保卫战。</w:t>
      </w:r>
      <w:r>
        <w:rPr>
          <w:rFonts w:hint="eastAsia"/>
        </w:rPr>
        <w:t>认真落实自治区、呼伦贝尔市《</w:t>
      </w:r>
      <w:r>
        <w:rPr>
          <w:rFonts w:hint="eastAsia"/>
          <w:lang w:eastAsia="zh-CN"/>
        </w:rPr>
        <w:t>中华人民共和国</w:t>
      </w:r>
      <w:r>
        <w:rPr>
          <w:rFonts w:hint="eastAsia"/>
        </w:rPr>
        <w:t>土壤污染防治法》执法检查要求，配合自治区、呼伦贝尔市完成我市土壤污染状况详查工作，确定我市土壤污染重点监管企业，督促企业定期开展土壤及地下水自行监测并向社会公开监测结果。全市固体废物、医疗废弃物收集率、处置率均达到100%。</w:t>
      </w:r>
    </w:p>
    <w:p>
      <w:pPr>
        <w:ind w:firstLine="602" w:firstLineChars="200"/>
      </w:pPr>
      <w:r>
        <w:rPr>
          <w:b/>
          <w:bCs/>
        </w:rPr>
        <w:t>生态系统服务功能显著增强</w:t>
      </w:r>
      <w:r>
        <w:rPr>
          <w:rFonts w:hint="eastAsia"/>
          <w:b/>
          <w:bCs/>
        </w:rPr>
        <w:t>。</w:t>
      </w:r>
      <w:r>
        <w:t>全</w:t>
      </w:r>
      <w:r>
        <w:rPr>
          <w:rFonts w:hint="eastAsia"/>
        </w:rPr>
        <w:t>市</w:t>
      </w:r>
      <w:r>
        <w:t>71.39</w:t>
      </w:r>
      <w:r>
        <w:rPr>
          <w:rFonts w:hint="eastAsia"/>
        </w:rPr>
        <w:t>平方公里</w:t>
      </w:r>
      <w:r>
        <w:t>的国土面积划入生态保护红线。</w:t>
      </w:r>
      <w:r>
        <w:rPr>
          <w:rFonts w:hint="eastAsia"/>
        </w:rPr>
        <w:t>完成绿化造林1.3</w:t>
      </w:r>
      <w:r>
        <w:t>3</w:t>
      </w:r>
      <w:r>
        <w:rPr>
          <w:rFonts w:hint="eastAsia"/>
        </w:rPr>
        <w:t>万亩，森林覆盖率达4.2%（按现在使用的林业数据计算），森林蓄积量保持在0.44万立方米，无退耕还林任务。</w:t>
      </w:r>
      <w:r>
        <w:t>建立健全了水资源管理制度和河湖长制，</w:t>
      </w:r>
      <w:r>
        <w:rPr>
          <w:rFonts w:hint="eastAsia"/>
        </w:rPr>
        <w:t>对二卡牧场水功能区水质断面实现全覆盖监测。霍尔津河为季节性河流，年平均径流量为1887.6万立方米，长度为24.693公里，流域面积6.82平方公里，霍尔津河流域环境保护和生态治理阶段性目标得以实现，栖息鸟类种数、鸟类个体数量显著增加。实施新开河生态修复和水环境治理项目，实现了人为干扰较大区域的水质提升。</w:t>
      </w:r>
    </w:p>
    <w:p>
      <w:pPr>
        <w:ind w:firstLine="601"/>
      </w:pPr>
      <w:r>
        <w:rPr>
          <w:b/>
          <w:bCs/>
        </w:rPr>
        <w:t>中央环保督察整改工作</w:t>
      </w:r>
      <w:r>
        <w:rPr>
          <w:rFonts w:hint="eastAsia"/>
          <w:b/>
          <w:bCs/>
        </w:rPr>
        <w:t>稳步落实</w:t>
      </w:r>
      <w:r>
        <w:rPr>
          <w:b/>
          <w:bCs/>
        </w:rPr>
        <w:t>。</w:t>
      </w:r>
      <w:r>
        <w:t>全力推动各项整改工作扎实有序开展。</w:t>
      </w:r>
      <w:r>
        <w:rPr>
          <w:rFonts w:hint="eastAsia"/>
        </w:rPr>
        <w:t>“十三五”期间涉及满洲里市整改问题46项，信访举报案件26件。其中，2016年中央环保督察反馈意见涉及我市整改问题12项，信访举报问题1件；2018年中央环保督察“回头看”及草原专项督察反馈意见涉及我市整改问题21项，信访举报案件17件，2020年自治区生态环境保护督察反馈意见涉及我市整改问题13项，信访举报案件8件，经各责任单位对档案资料梳理和现场点位核查，上述问题和举报案件均已完成整改并销号，无反弹问题和新问题。</w:t>
      </w:r>
    </w:p>
    <w:p>
      <w:pPr>
        <w:ind w:firstLine="601"/>
        <w:rPr>
          <w:rFonts w:cs="Times New Roman"/>
        </w:rPr>
      </w:pPr>
      <w:r>
        <w:rPr>
          <w:rFonts w:hint="eastAsia" w:cs="Times New Roman"/>
          <w:b/>
          <w:bCs/>
        </w:rPr>
        <w:t>生态</w:t>
      </w:r>
      <w:r>
        <w:rPr>
          <w:rFonts w:cs="Times New Roman"/>
          <w:b/>
          <w:bCs/>
        </w:rPr>
        <w:t>环境</w:t>
      </w:r>
      <w:r>
        <w:rPr>
          <w:rFonts w:hint="eastAsia" w:cs="Times New Roman"/>
          <w:b/>
          <w:bCs/>
        </w:rPr>
        <w:t>环保</w:t>
      </w:r>
      <w:r>
        <w:rPr>
          <w:rFonts w:cs="Times New Roman"/>
          <w:b/>
          <w:bCs/>
        </w:rPr>
        <w:t>监管机制逐渐完善。</w:t>
      </w:r>
      <w:r>
        <w:rPr>
          <w:rFonts w:cs="Times New Roman"/>
        </w:rPr>
        <w:t>严格建设项目环境准入，贯彻落实排污许可制，</w:t>
      </w:r>
      <w:r>
        <w:rPr>
          <w:rFonts w:hint="eastAsia" w:cs="Times New Roman"/>
        </w:rPr>
        <w:t>“</w:t>
      </w:r>
      <w:r>
        <w:rPr>
          <w:rFonts w:cs="Times New Roman"/>
        </w:rPr>
        <w:t>十三五</w:t>
      </w:r>
      <w:r>
        <w:rPr>
          <w:rFonts w:hint="eastAsia" w:cs="Times New Roman"/>
        </w:rPr>
        <w:t>”</w:t>
      </w:r>
      <w:r>
        <w:rPr>
          <w:rFonts w:cs="Times New Roman"/>
        </w:rPr>
        <w:t>期间，全市生态环境部门</w:t>
      </w:r>
      <w:r>
        <w:rPr>
          <w:rFonts w:hint="eastAsia" w:cs="Times New Roman"/>
        </w:rPr>
        <w:t>共发放排污许可证3</w:t>
      </w:r>
      <w:r>
        <w:rPr>
          <w:rFonts w:cs="Times New Roman"/>
        </w:rPr>
        <w:t>4</w:t>
      </w:r>
      <w:r>
        <w:rPr>
          <w:rFonts w:hint="eastAsia" w:cs="Times New Roman"/>
        </w:rPr>
        <w:t>个，其中重点管理</w:t>
      </w:r>
      <w:r>
        <w:rPr>
          <w:rFonts w:cs="Times New Roman"/>
        </w:rPr>
        <w:t>5</w:t>
      </w:r>
      <w:r>
        <w:rPr>
          <w:rFonts w:hint="eastAsia" w:cs="Times New Roman"/>
        </w:rPr>
        <w:t>个，简化管理2</w:t>
      </w:r>
      <w:r>
        <w:rPr>
          <w:rFonts w:cs="Times New Roman"/>
        </w:rPr>
        <w:t>9</w:t>
      </w:r>
      <w:r>
        <w:rPr>
          <w:rFonts w:hint="eastAsia" w:cs="Times New Roman"/>
        </w:rPr>
        <w:t>个，进行排污许可登记企业</w:t>
      </w:r>
      <w:r>
        <w:rPr>
          <w:rFonts w:cs="Times New Roman"/>
        </w:rPr>
        <w:t>199</w:t>
      </w:r>
      <w:r>
        <w:rPr>
          <w:rFonts w:hint="eastAsia" w:cs="Times New Roman"/>
        </w:rPr>
        <w:t>个。</w:t>
      </w:r>
      <w:r>
        <w:rPr>
          <w:rFonts w:cs="Times New Roman"/>
        </w:rPr>
        <w:t>完善“双随机”环境监管制度，对“双随机”系统污染源档案库进行更新调整，及时将新增重点排污企业纳入监管范围，调出一批停产停业以及规模小、污染低的企业，进一步提高了环境监管执法的针对性、有效性和科学性。严厉打击生态环境违法行为，组织开展了执法大练兵、</w:t>
      </w:r>
      <w:r>
        <w:rPr>
          <w:rFonts w:hint="eastAsia" w:cs="Times New Roman"/>
        </w:rPr>
        <w:t>“</w:t>
      </w:r>
      <w:r>
        <w:rPr>
          <w:rFonts w:cs="Times New Roman"/>
        </w:rPr>
        <w:t>散乱污</w:t>
      </w:r>
      <w:r>
        <w:rPr>
          <w:rFonts w:hint="eastAsia" w:cs="Times New Roman"/>
        </w:rPr>
        <w:t>”</w:t>
      </w:r>
      <w:r>
        <w:rPr>
          <w:rFonts w:cs="Times New Roman"/>
        </w:rPr>
        <w:t>企业专项整治等环保专项行动，对偷排偷放、恶意排污等危害群众健康、污染环境的违法犯罪行为，坚决依法查处。</w:t>
      </w:r>
      <w:r>
        <w:rPr>
          <w:rFonts w:hint="eastAsia" w:cs="Times New Roman"/>
        </w:rPr>
        <w:t>加大生态环境宣传教育力度，联合市普法专项组办公室开展“美丽中国，我是行动者”系列宣传活动，持续开展六五环境日、全国低碳日、国际生物多样性日等主题环保宣传活动，积极开展“送法律知识进企业”、“低碳进校园”、“低碳进社区”等主题环保实践活动，普及污染防治相关知识，加强法律法规政策宣传解读，进一步提升公众环境意识，在全社会营造崇尚生态文明、支持参与生态环境保护的良好氛围。</w:t>
      </w:r>
    </w:p>
    <w:p>
      <w:pPr>
        <w:ind w:firstLine="602" w:firstLineChars="200"/>
        <w:rPr>
          <w:rFonts w:cs="Times New Roman"/>
        </w:rPr>
      </w:pPr>
      <w:r>
        <w:rPr>
          <w:rFonts w:cs="Times New Roman"/>
          <w:b/>
          <w:bCs/>
          <w:lang w:val="zh-CN"/>
        </w:rPr>
        <w:t>环境风险防控能力</w:t>
      </w:r>
      <w:r>
        <w:rPr>
          <w:rFonts w:hint="eastAsia" w:cs="Times New Roman"/>
          <w:b/>
          <w:bCs/>
        </w:rPr>
        <w:t>显著提高</w:t>
      </w:r>
      <w:r>
        <w:rPr>
          <w:rFonts w:hint="eastAsia" w:cs="Times New Roman"/>
          <w:b/>
          <w:bCs/>
          <w:lang w:val="zh-CN"/>
        </w:rPr>
        <w:t>。</w:t>
      </w:r>
      <w:r>
        <w:rPr>
          <w:rFonts w:cs="Times New Roman"/>
        </w:rPr>
        <w:t>加强环境应急管理，规范核与辐射环境监督管理</w:t>
      </w:r>
      <w:r>
        <w:rPr>
          <w:rFonts w:hint="eastAsia" w:cs="Times New Roman"/>
        </w:rPr>
        <w:t>，将我市5家核技术利用单位纳入“国家核技术利用辐射安全监管系统”平台进行规范化管理。核技术利用单位每年开展年度安全评估并在系统平台上报，监管单位通过系统平台和现场检查方式，对核技术利用单位进行监督管理。</w:t>
      </w:r>
      <w:r>
        <w:rPr>
          <w:rFonts w:cs="Times New Roman"/>
        </w:rPr>
        <w:t>根据我市产业结构、环境风险状况等，对1家核技术利用单位开展隐患排查，完成</w:t>
      </w:r>
      <w:r>
        <w:rPr>
          <w:rFonts w:hint="eastAsia" w:cs="Times New Roman"/>
        </w:rPr>
        <w:t>1</w:t>
      </w:r>
      <w:r>
        <w:rPr>
          <w:rFonts w:cs="Times New Roman"/>
        </w:rPr>
        <w:t>家单位的辐射安全许可证申请、延续、变更工作。</w:t>
      </w:r>
      <w:r>
        <w:rPr>
          <w:rFonts w:hint="eastAsia" w:cs="Times New Roman"/>
        </w:rPr>
        <w:t>按自治区辐射监督管理站要求，完成口岸城市4个点位环境γ辐射空气吸收剂量率和部分重点监控场所工频电场、综合场强等项目的电磁辐射监测工作。顺利完成全市2020年危险化学品事故政企联动应急演练和自治区2020年生态环境监测系统辐射监测项目比对。</w:t>
      </w:r>
    </w:p>
    <w:p>
      <w:pPr>
        <w:ind w:firstLine="601"/>
        <w:rPr>
          <w:rFonts w:cs="Times New Roman"/>
          <w:b/>
          <w:bCs/>
        </w:rPr>
      </w:pPr>
      <w:r>
        <w:rPr>
          <w:rFonts w:hint="eastAsia" w:cs="Times New Roman"/>
          <w:b/>
          <w:bCs/>
          <w:szCs w:val="30"/>
        </w:rPr>
        <w:t>深入开展自然保护区监管。</w:t>
      </w:r>
      <w:r>
        <w:rPr>
          <w:rFonts w:hint="eastAsia" w:cs="Times New Roman"/>
        </w:rPr>
        <w:t>持续开展“绿盾2017、2018”自然保护区监督检查专项行动，配合推进自然保护区矿</w:t>
      </w:r>
      <w:r>
        <w:rPr>
          <w:rFonts w:hint="eastAsia" w:cs="Times New Roman"/>
          <w:szCs w:val="30"/>
        </w:rPr>
        <w:t>山退出</w:t>
      </w:r>
      <w:r>
        <w:rPr>
          <w:rFonts w:hint="eastAsia" w:cs="Times New Roman"/>
        </w:rPr>
        <w:t>、矿山整治以及违规征占用草原专项整治</w:t>
      </w:r>
      <w:r>
        <w:rPr>
          <w:rFonts w:cs="Times New Roman"/>
        </w:rPr>
        <w:t>。</w:t>
      </w:r>
      <w:r>
        <w:rPr>
          <w:rFonts w:hint="eastAsia"/>
        </w:rPr>
        <w:t>按照依法关停取缔一批、有序退出一批、整改完善一批的原则，持续推进满洲里市二卡湿地自然保护区内违法违规开发建设活动清理整顿。按照属地管理原则，明确各相关职能部门的管理责任。从严控制保护区项目审批，严格项目准入审查。</w:t>
      </w:r>
    </w:p>
    <w:p>
      <w:pPr>
        <w:ind w:firstLine="602" w:firstLineChars="200"/>
      </w:pPr>
      <w:r>
        <w:rPr>
          <w:rFonts w:cs="Times New Roman"/>
          <w:b/>
          <w:bCs/>
        </w:rPr>
        <w:t>稳步推进生态环境保障能力建设。</w:t>
      </w:r>
      <w:r>
        <w:rPr>
          <w:rFonts w:cs="Times New Roman"/>
        </w:rPr>
        <w:t>加强环保信息化应用系统支撑作用，市污染源在线监控平台联网排污企业</w:t>
      </w:r>
      <w:r>
        <w:rPr>
          <w:rFonts w:hint="eastAsia" w:cs="Times New Roman"/>
        </w:rPr>
        <w:t>6</w:t>
      </w:r>
      <w:r>
        <w:rPr>
          <w:rFonts w:cs="Times New Roman"/>
        </w:rPr>
        <w:t>家，实时监控污染物排放情况。联网机动车排放检验机构</w:t>
      </w:r>
      <w:r>
        <w:rPr>
          <w:rFonts w:hint="eastAsia" w:cs="Times New Roman"/>
        </w:rPr>
        <w:t>4</w:t>
      </w:r>
      <w:r>
        <w:rPr>
          <w:rFonts w:cs="Times New Roman"/>
        </w:rPr>
        <w:t>家、机动车尾气检测线</w:t>
      </w:r>
      <w:r>
        <w:rPr>
          <w:rFonts w:hint="eastAsia" w:cs="Times New Roman"/>
        </w:rPr>
        <w:t>10</w:t>
      </w:r>
      <w:r>
        <w:rPr>
          <w:rFonts w:cs="Times New Roman"/>
        </w:rPr>
        <w:t>条，实现检测过程实时监控、检测数据同步上传。完成全国第二次污染源普查工作，累计普查污染源企业</w:t>
      </w:r>
      <w:r>
        <w:rPr>
          <w:rFonts w:hint="eastAsia" w:cs="Times New Roman"/>
        </w:rPr>
        <w:t>289家</w:t>
      </w:r>
      <w:r>
        <w:rPr>
          <w:rFonts w:cs="Times New Roman"/>
        </w:rPr>
        <w:t>，进一步摸清了我市各类污染源数量、分布情况及污染物排放情况，建立了较为全面翔实的污染源档案。加强环境监测体系建设，完成2座区控空气质量自动监测站点建设。</w:t>
      </w:r>
    </w:p>
    <w:p>
      <w:pPr>
        <w:pStyle w:val="4"/>
      </w:pPr>
      <w:bookmarkStart w:id="2" w:name="_Toc123548269"/>
      <w:r>
        <w:rPr>
          <w:rFonts w:hint="eastAsia"/>
        </w:rPr>
        <w:t xml:space="preserve">第二节 </w:t>
      </w:r>
      <w:r>
        <w:t xml:space="preserve"> </w:t>
      </w:r>
      <w:r>
        <w:rPr>
          <w:rFonts w:hint="eastAsia"/>
        </w:rPr>
        <w:t>生态环境保护工作进入新阶段</w:t>
      </w:r>
      <w:bookmarkEnd w:id="2"/>
    </w:p>
    <w:p>
      <w:pPr>
        <w:ind w:firstLine="600" w:firstLineChars="200"/>
        <w:rPr>
          <w:rFonts w:cs="Times New Roman"/>
        </w:rPr>
      </w:pPr>
      <w:r>
        <w:rPr>
          <w:rFonts w:hint="eastAsia" w:cs="Times New Roman"/>
        </w:rPr>
        <w:t>“十四五”时期，是我市迈入社会主义现代化新征程、向着加快建设美丽开放繁荣幸福满洲里目标阔步前进的关键时期，也是我市抢抓历史机遇、实现高质量发展、积极融入新发展格局、打造对外开放新高地的关键五年。随着“一带一路”建设持续深化，新一轮西部大开发、东北振兴战略深入实施，自治区建设国家向北开放重要桥头堡行动加速推进，为我市发展带来了新的机遇。内蒙古自治区推动东中西部盟市差异化协调发展，将东部盟市生态极端重要性摆在更加突出的位置，要求我们把保护好大草原、大森林、大河湖、大湿地作为主要任务，为我市坚定不移地推进绿色发展提供了强大的动力支撑。我市高度重视生态环境保护，坚持走生态优先、绿色发展之路，确定了“生态产业化、产业生态化”的发展方向，为我们在新发展阶段更加做好生态环境保护、筑牢国家北方生态安全屏障奠定坚实基础。</w:t>
      </w:r>
    </w:p>
    <w:p>
      <w:pPr>
        <w:ind w:firstLine="600" w:firstLineChars="200"/>
        <w:rPr>
          <w:rStyle w:val="15"/>
          <w:rFonts w:cstheme="minorBidi"/>
          <w:kern w:val="2"/>
          <w:sz w:val="30"/>
          <w:szCs w:val="30"/>
        </w:rPr>
      </w:pPr>
      <w:r>
        <w:rPr>
          <w:rStyle w:val="15"/>
          <w:rFonts w:hint="eastAsia" w:cstheme="minorBidi"/>
          <w:kern w:val="2"/>
          <w:sz w:val="30"/>
          <w:szCs w:val="30"/>
        </w:rPr>
        <w:t>面对新的发展格局，我市生态环境保护迎来了新的挑战，生态环境质量状况与人民期待还有不小差距，全市生态环境保护工作任务依然任重道远。</w:t>
      </w:r>
    </w:p>
    <w:p>
      <w:pPr>
        <w:ind w:firstLine="602" w:firstLineChars="200"/>
        <w:rPr>
          <w:rFonts w:cs="Times New Roman"/>
        </w:rPr>
      </w:pPr>
      <w:r>
        <w:rPr>
          <w:rFonts w:hint="eastAsia" w:cs="Times New Roman"/>
          <w:b/>
          <w:bCs/>
        </w:rPr>
        <w:t>一是对标对表美丽中国建设目标，生态环境领域短板较为突出。</w:t>
      </w:r>
      <w:r>
        <w:rPr>
          <w:rFonts w:hint="eastAsia" w:cs="Times New Roman"/>
        </w:rPr>
        <w:t>我市能源结构仍以化石能源为主，能耗水平居高不下。碳排放总量大，节能降碳形势严峻，实现碳达峰、碳中和愿景目标任务异常艰巨。生态环境质量改善成效还不稳固，绿色生产生活方式尚未根本形成，优质生态产品供给还不能满足人民日益增长的美好生活需要，与人民对美好生活的期盼、与美丽中国目标要求还有很大差距。</w:t>
      </w:r>
    </w:p>
    <w:p>
      <w:pPr>
        <w:ind w:firstLine="602" w:firstLineChars="200"/>
        <w:rPr>
          <w:rFonts w:cs="Times New Roman"/>
        </w:rPr>
      </w:pPr>
      <w:r>
        <w:rPr>
          <w:rFonts w:hint="eastAsia" w:cs="Times New Roman"/>
          <w:b/>
          <w:bCs/>
        </w:rPr>
        <w:t>二是结构性矛盾仍未根本改变，环境压力持续增加。</w:t>
      </w:r>
      <w:r>
        <w:rPr>
          <w:rFonts w:hint="eastAsia" w:cs="Times New Roman"/>
        </w:rPr>
        <w:t>目前，全市火电、冬季集中采暖锅炉等资源消耗大的行业仍占有较大比例，一次能源结构仍以煤炭为主，消耗量较高问题依然存在，减煤降碳难度大。现代服务业发展相对滞后。因此，探索生态优先、绿色发展的高质量发展新路子，推动经济与生态保护协调发展，将是我市生态文明建设面临的重要挑战之一。</w:t>
      </w:r>
    </w:p>
    <w:p>
      <w:pPr>
        <w:ind w:firstLine="602" w:firstLineChars="200"/>
        <w:rPr>
          <w:rFonts w:cs="Times New Roman"/>
        </w:rPr>
      </w:pPr>
      <w:r>
        <w:rPr>
          <w:rFonts w:hint="eastAsia" w:cs="Times New Roman"/>
          <w:b/>
          <w:bCs/>
        </w:rPr>
        <w:t>三是生态环境问题依然突出，生态环境质量改善存在难度。</w:t>
      </w:r>
      <w:r>
        <w:rPr>
          <w:rFonts w:hint="eastAsia" w:cs="Times New Roman"/>
        </w:rPr>
        <w:t>水环境质量方面，流域水质改善难度较大。</w:t>
      </w:r>
      <w:r>
        <w:rPr>
          <w:rFonts w:hint="eastAsia"/>
        </w:rPr>
        <w:t>目前满洲里市辖区内只有一处地表水国考断面——二卡牧场，其水质目标为Ⅴ类。截止到2022年断面水质监测共五次，均为劣Ⅴ类。初步分析原因是受上游达赉湖湖水水质影响导致。</w:t>
      </w:r>
      <w:r>
        <w:rPr>
          <w:rFonts w:hint="eastAsia" w:cs="Times New Roman"/>
        </w:rPr>
        <w:t>土壤生态环境保护方面，耕地化肥、农药等多种污染途径影响，对土壤造成污染的潜在风险较大。危险废物、危险化学品、重金属等重大环境风险源大量存在，风险隐患防控存在薄弱环节，应急处置能力亟待提升，一般工业固废综合利用率较低，环境风险管控压力大。</w:t>
      </w:r>
    </w:p>
    <w:p>
      <w:pPr>
        <w:ind w:firstLine="602" w:firstLineChars="200"/>
      </w:pPr>
      <w:r>
        <w:rPr>
          <w:rFonts w:hint="eastAsia" w:cs="Times New Roman"/>
          <w:b/>
          <w:bCs/>
        </w:rPr>
        <w:t>四是生态环境治理体系仍不完善，生态环境治理能力亟需加强。</w:t>
      </w:r>
      <w:r>
        <w:t>生态文明法治体系、制度体系、执法监管体系和治理能力体系还不健全</w:t>
      </w:r>
      <w:r>
        <w:rPr>
          <w:rFonts w:hint="eastAsia"/>
        </w:rPr>
        <w:t>。</w:t>
      </w:r>
      <w:r>
        <w:rPr>
          <w:rFonts w:hint="eastAsia" w:cs="Times New Roman"/>
        </w:rPr>
        <w:t>生态环境治理更多依靠行政手段，相关责任主体内生动力不足，市场体系等还需进一步完善。相关部门领导责任体系仍然不够健全，一些企业主体责任没有落实到位，法治意识淡薄，依法保护和治理生态环境的自觉性还需加强。环境质量、污染源、生物多样性保护监测与信息化建设仍然滞后，科技创新能力不足，监管人员力量不足，与日益繁重的生态环境监管任务不相匹配。全民行动体系需要进一步建立和完善。</w:t>
      </w:r>
    </w:p>
    <w:p>
      <w:pPr>
        <w:pStyle w:val="3"/>
        <w:spacing w:before="408" w:after="204"/>
        <w:ind w:left="1440"/>
        <w:jc w:val="both"/>
      </w:pPr>
      <w:bookmarkStart w:id="3" w:name="_Toc123548270"/>
      <w:r>
        <w:rPr>
          <w:rFonts w:hint="eastAsia"/>
        </w:rPr>
        <w:t xml:space="preserve">第二章 </w:t>
      </w:r>
      <w:r>
        <w:t xml:space="preserve"> </w:t>
      </w:r>
      <w:r>
        <w:rPr>
          <w:rFonts w:hint="eastAsia"/>
        </w:rPr>
        <w:t>指导思想、原则和目标</w:t>
      </w:r>
      <w:bookmarkEnd w:id="3"/>
    </w:p>
    <w:p>
      <w:pPr>
        <w:pStyle w:val="4"/>
      </w:pPr>
      <w:bookmarkStart w:id="4" w:name="_Toc123548271"/>
      <w:r>
        <w:rPr>
          <w:rFonts w:hint="eastAsia"/>
        </w:rPr>
        <w:t xml:space="preserve">第一节 </w:t>
      </w:r>
      <w:r>
        <w:t xml:space="preserve"> </w:t>
      </w:r>
      <w:r>
        <w:rPr>
          <w:rFonts w:hint="eastAsia"/>
        </w:rPr>
        <w:t>指导思想</w:t>
      </w:r>
      <w:bookmarkEnd w:id="4"/>
    </w:p>
    <w:p>
      <w:pPr>
        <w:ind w:firstLine="600" w:firstLineChars="200"/>
      </w:pPr>
      <w:r>
        <w:rPr>
          <w:rFonts w:hint="eastAsia"/>
        </w:rPr>
        <w:t>高举中国特色社会主义伟大旗帜，以习近平新时代中国特色社会主义思想为指导，全面贯彻党的十九大和十九届历次全会精神，认真落实习近平生态文明思想和习近平总书记对内蒙古重要讲话重要指示批示精神，认真贯彻落实自治区第十一次党代会、呼伦贝尔市第五次党代会、中国共产党满洲里市第十七次代表大会精神，完整、准确、全面贯彻新发展理念，积极服务和融入新发展格局，全面深化改革开放，坚持创新驱动发展，统筹发展和安全，牢牢立足“两个屏障”“两个基地”和“一个桥头堡”的战略定位，深入落实自治区关于东部盟市发展的工作要求，坚定不移走以生态优先、绿色发展为导向的高质量发展新路子，保持加强生态文明建设的战略定力，深入贯彻落实“三线一单”生态环境分区管控措施，围绕碳达峰、碳中和目标愿景，推进减污降碳协同治理，加快实现绿色低碳发展，统筹山水林田湖草沙系统治理，提升生态系统稳定性和可持续性，全面构建现代环境治理体系、全面提升生态环境治理能力、全面改善生态环境质量、全面扩大优质生态产品供给。牢固树立“绿水青山就是金山银山”理念，坚决守护好满洲里这片绿色净土，筑牢我国北方重要生态安全屏障，奋力开创建设更加美丽富饶和谐安宁满洲里新局面。</w:t>
      </w:r>
    </w:p>
    <w:p>
      <w:pPr>
        <w:pStyle w:val="4"/>
      </w:pPr>
      <w:bookmarkStart w:id="5" w:name="_Toc123548272"/>
      <w:r>
        <w:rPr>
          <w:rFonts w:hint="eastAsia"/>
        </w:rPr>
        <w:t xml:space="preserve">第二节 </w:t>
      </w:r>
      <w:r>
        <w:t xml:space="preserve"> </w:t>
      </w:r>
      <w:r>
        <w:rPr>
          <w:rFonts w:hint="eastAsia"/>
        </w:rPr>
        <w:t>基本原则</w:t>
      </w:r>
      <w:bookmarkEnd w:id="5"/>
    </w:p>
    <w:p>
      <w:pPr>
        <w:ind w:firstLine="602" w:firstLineChars="200"/>
      </w:pPr>
      <w:r>
        <w:rPr>
          <w:rFonts w:hint="eastAsia"/>
          <w:b/>
          <w:bCs/>
        </w:rPr>
        <w:t>坚持生态优先，绿色发展。</w:t>
      </w:r>
      <w:r>
        <w:rPr>
          <w:rFonts w:hint="eastAsia"/>
        </w:rPr>
        <w:t>坚定不移走以生态优先、绿色发展为导向的高质量发展新路子，落实自治区“两个屏障”“两个基地”和“一个桥头堡”战略定位，共抓大保护，不搞大开发。以降碳为重点战略方向，加快调整产业结构、能源结构、交通运输结构、用地结构，大力支持绿色技术创新，推动减污降碳协同增效，促进经济社会发展全面绿色转型。</w:t>
      </w:r>
    </w:p>
    <w:p>
      <w:pPr>
        <w:ind w:firstLine="602" w:firstLineChars="200"/>
      </w:pPr>
      <w:r>
        <w:rPr>
          <w:rFonts w:hint="eastAsia"/>
          <w:b/>
          <w:bCs/>
        </w:rPr>
        <w:t>坚持人民至上，造福人民。</w:t>
      </w:r>
      <w:r>
        <w:rPr>
          <w:rFonts w:hint="eastAsia"/>
        </w:rPr>
        <w:t>全面践行以人民为中心的发展思想，把坚持人民至上、紧紧依靠人民、不断造福人民、牢牢植根人民的重要要求落实到生态环境保护工作中，下大力气解决群众反映突出生态环境问题，提供更多优质生态产品，增强人民群众对生态环境改善的幸福感、获得感和安全感。</w:t>
      </w:r>
    </w:p>
    <w:p>
      <w:pPr>
        <w:ind w:firstLine="602" w:firstLineChars="200"/>
      </w:pPr>
      <w:r>
        <w:rPr>
          <w:rFonts w:hint="eastAsia"/>
          <w:b/>
          <w:bCs/>
        </w:rPr>
        <w:t>坚持深化改革，创新发展。</w:t>
      </w:r>
      <w:r>
        <w:rPr>
          <w:rFonts w:hint="eastAsia"/>
        </w:rPr>
        <w:t>深化生态文明体制改革，加快推进生态环境治理体系和治理能力现代化，完善生态文明制度体系，健全生态环境监管体系。实施创新驱动发展战略，开展重点领域科技攻关，为科学决策、精准治污提供支撑，推动经济社会高质量发展。</w:t>
      </w:r>
    </w:p>
    <w:p>
      <w:pPr>
        <w:ind w:firstLine="602" w:firstLineChars="200"/>
      </w:pPr>
      <w:r>
        <w:rPr>
          <w:rFonts w:hint="eastAsia"/>
          <w:b/>
          <w:bCs/>
        </w:rPr>
        <w:t>坚持示范创新，彰显特色。</w:t>
      </w:r>
      <w:r>
        <w:rPr>
          <w:rFonts w:hint="eastAsia"/>
        </w:rPr>
        <w:t>按照国家创建生态文明示范建设的要求，全面加强生态空间、生态经济、生态环境、生态制度、生态文化与生态生活等方面的示范创新。优化国土空间格局，推进产业转型升级，大力提升环境质量，传承优秀生态文化，构建和谐优美的生态人居体系，探索和实施系列生态文明建设体制机制改革，充分体现质量和创新驱动的特色，探索具有地方特色的生态文明发展模式。</w:t>
      </w:r>
    </w:p>
    <w:p>
      <w:pPr>
        <w:ind w:firstLine="602" w:firstLineChars="200"/>
      </w:pPr>
      <w:r>
        <w:rPr>
          <w:rFonts w:hint="eastAsia"/>
          <w:b/>
          <w:bCs/>
        </w:rPr>
        <w:t>坚持系统观念，协同治理。</w:t>
      </w:r>
      <w:r>
        <w:rPr>
          <w:rFonts w:hint="eastAsia"/>
        </w:rPr>
        <w:t>以生态环境质量改善为核心，推动生态环境源头治理。坚持突出精准治污、科学治污、依法治污，协同推进减污降碳、推进城乡治理，强化区域联防联控。加强山水林田湖草沙系统治理、协同治理，提高生态环境综合治理的系统性和整体性。</w:t>
      </w:r>
    </w:p>
    <w:p>
      <w:pPr>
        <w:ind w:firstLine="602" w:firstLineChars="200"/>
      </w:pPr>
      <w:r>
        <w:rPr>
          <w:rFonts w:hint="eastAsia"/>
          <w:b/>
          <w:bCs/>
        </w:rPr>
        <w:t>坚持政府主导，共治共享。</w:t>
      </w:r>
      <w:r>
        <w:rPr>
          <w:rFonts w:hint="eastAsia"/>
        </w:rPr>
        <w:t>完善党委领导、政府主导、企业主体、社会组织和公众共同参与的现代环境治理体系，建设人人有责、人人尽责、人人享有的社会治理共同体，形成导向清晰、决策科学、执行有力、激励有效、多元参与、良性互动的“大环保格局”。</w:t>
      </w:r>
    </w:p>
    <w:p>
      <w:pPr>
        <w:pStyle w:val="4"/>
      </w:pPr>
      <w:bookmarkStart w:id="6" w:name="_Toc123548273"/>
      <w:r>
        <w:rPr>
          <w:rFonts w:hint="eastAsia"/>
        </w:rPr>
        <w:t xml:space="preserve">第三节 </w:t>
      </w:r>
      <w:r>
        <w:t xml:space="preserve"> </w:t>
      </w:r>
      <w:r>
        <w:rPr>
          <w:rFonts w:hint="eastAsia"/>
        </w:rPr>
        <w:t>主要目标</w:t>
      </w:r>
      <w:bookmarkEnd w:id="6"/>
    </w:p>
    <w:p>
      <w:pPr>
        <w:ind w:firstLine="600" w:firstLineChars="200"/>
      </w:pPr>
      <w:r>
        <w:t>展望二〇三五年，绿色生产生活方式广泛形成，碳排放达峰后稳中有降，经济社会发展全面绿色转型，生态环境根本好转，生态安全屏障更加牢固。以生态优先、绿色发展为导向的高质量发展水平大幅跃升，应对气候变化能力明显提升，大气、水、土壤环境质量持续改善，环境风险得到全面管控，基本满足人民对优美生态环境的需要，生态环境治理体系和治理能力现代化基本实现。</w:t>
      </w:r>
    </w:p>
    <w:p>
      <w:pPr>
        <w:ind w:firstLine="600" w:firstLineChars="200"/>
      </w:pPr>
      <w:r>
        <w:rPr>
          <w:rFonts w:hint="eastAsia"/>
        </w:rPr>
        <w:t>“十四五”时期，立足我市区位优势和资源环境承载能力，以建设生态安全屏障、构筑万里绿色长城为引领，以生态优先、绿色发展为导向，以保障民生、改善环境为根本，以建设美丽富饶和谐安宁的满洲里为目标。生态保护的主要目标；</w:t>
      </w:r>
    </w:p>
    <w:p>
      <w:pPr>
        <w:ind w:firstLine="600" w:firstLineChars="200"/>
      </w:pPr>
      <w:r>
        <w:rPr>
          <w:rFonts w:hint="eastAsia"/>
        </w:rPr>
        <w:t>——生态优先、绿色发展取得实质性进展。</w:t>
      </w:r>
      <w:r>
        <w:t>到2025年，国土空间开发保护格局得到优化，绿色循环低碳发展的产业体系不断完善，以生态优先、绿色发展为导向的高质量发展取得实质性进展。</w:t>
      </w:r>
    </w:p>
    <w:p>
      <w:pPr>
        <w:ind w:firstLine="600" w:firstLineChars="200"/>
        <w:rPr>
          <w:highlight w:val="red"/>
        </w:rPr>
      </w:pPr>
      <w:r>
        <w:rPr>
          <w:rFonts w:hint="eastAsia"/>
        </w:rPr>
        <w:t>——生态环境质量持续改善。空气环境质量、水环境质量保持稳定，土壤生态环境质量稳定向好，城乡人居环境明显改善，主要污染物排放总量持续减少。</w:t>
      </w:r>
      <w:r>
        <w:rPr>
          <w:rFonts w:cs="Times New Roman"/>
        </w:rPr>
        <w:t>其中2020年PM</w:t>
      </w:r>
      <w:r>
        <w:rPr>
          <w:rFonts w:cs="Times New Roman"/>
          <w:vertAlign w:val="subscript"/>
        </w:rPr>
        <w:t>2.5</w:t>
      </w:r>
      <w:r>
        <w:rPr>
          <w:rFonts w:cs="Times New Roman"/>
        </w:rPr>
        <w:t>年平均浓度为10μg/m</w:t>
      </w:r>
      <w:r>
        <w:rPr>
          <w:rFonts w:cs="Times New Roman"/>
          <w:vertAlign w:val="superscript"/>
        </w:rPr>
        <w:t>3</w:t>
      </w:r>
      <w:r>
        <w:rPr>
          <w:rFonts w:cs="Times New Roman"/>
        </w:rPr>
        <w:t>，</w:t>
      </w:r>
      <w:r>
        <w:rPr>
          <w:rFonts w:hint="eastAsia"/>
        </w:rPr>
        <w:t>到2025年，环境空气质量优良天数比率保持稳定，同时PM</w:t>
      </w:r>
      <w:r>
        <w:rPr>
          <w:rFonts w:hint="eastAsia"/>
          <w:vertAlign w:val="subscript"/>
        </w:rPr>
        <w:t>2.5</w:t>
      </w:r>
      <w:r>
        <w:rPr>
          <w:rFonts w:hint="eastAsia"/>
        </w:rPr>
        <w:t>浓度达到呼伦贝尔市考核要求。</w:t>
      </w:r>
      <w:r>
        <w:t>生态功能显著增强，生态环境持续改善。</w:t>
      </w:r>
    </w:p>
    <w:p>
      <w:pPr>
        <w:ind w:firstLine="600" w:firstLineChars="200"/>
      </w:pPr>
      <w:r>
        <w:rPr>
          <w:rFonts w:hint="eastAsia"/>
        </w:rPr>
        <w:t>——生态系统质量和稳定性稳步提升。实施二卡湿地河湖工程、霍尔津河流域治理，建立健康水生态系统，以呼伦贝尔国家公园为主体的自然保护地体系初步形成，草原综合植被盖度和森林蓄积量实现“双提升”生物多样性得到有效保护，生态系统服务功能不断增强，生态保护监管能力不断加强，国家北方生态安全屏障构筑的更加牢固。</w:t>
      </w:r>
    </w:p>
    <w:p>
      <w:pPr>
        <w:ind w:firstLine="600" w:firstLineChars="200"/>
      </w:pPr>
      <w:r>
        <w:rPr>
          <w:rFonts w:hint="eastAsia"/>
        </w:rPr>
        <w:t>——环境风险得到有效控制。</w:t>
      </w:r>
      <w:r>
        <w:t>到2025年，土壤安全利用水平巩固提升，</w:t>
      </w:r>
      <w:r>
        <w:rPr>
          <w:rFonts w:hint="eastAsia"/>
        </w:rPr>
        <w:t>继续保持耕地地块零污染</w:t>
      </w:r>
      <w:r>
        <w:t>，固体废物与化学物质环境风险防控能力明显增强，确保核与辐射安全，环境风险得到有效管控。</w:t>
      </w:r>
    </w:p>
    <w:p>
      <w:pPr>
        <w:ind w:firstLine="600" w:firstLineChars="200"/>
      </w:pPr>
      <w:r>
        <w:rPr>
          <w:rFonts w:hint="eastAsia"/>
        </w:rPr>
        <w:t>——生态环境治理体系进一步健全。</w:t>
      </w:r>
      <w:r>
        <w:t>到2025年，</w:t>
      </w:r>
      <w:r>
        <w:rPr>
          <w:rFonts w:hint="eastAsia"/>
        </w:rPr>
        <w:t>“</w:t>
      </w:r>
      <w:r>
        <w:t>绿水青山就是金山银山</w:t>
      </w:r>
      <w:r>
        <w:rPr>
          <w:rFonts w:hint="eastAsia"/>
        </w:rPr>
        <w:t>”</w:t>
      </w:r>
      <w:r>
        <w:t>的理念深入人心，生态文明制度体系不断完善，生态环境治理能力得到提升，精准治污、科学治污、依法治污水平全面提升，生态环境治理效能获得新提升。</w:t>
      </w:r>
    </w:p>
    <w:tbl>
      <w:tblPr>
        <w:tblStyle w:val="12"/>
        <w:tblW w:w="5068" w:type="pct"/>
        <w:tblInd w:w="-15"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blGrid>
        <w:gridCol w:w="27"/>
        <w:gridCol w:w="583"/>
        <w:gridCol w:w="859"/>
        <w:gridCol w:w="875"/>
        <w:gridCol w:w="2195"/>
        <w:gridCol w:w="1457"/>
        <w:gridCol w:w="1604"/>
        <w:gridCol w:w="1032"/>
        <w:gridCol w:w="12"/>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gridBefore w:val="1"/>
          <w:wBefore w:w="15" w:type="pct"/>
        </w:trPr>
        <w:tc>
          <w:tcPr>
            <w:tcW w:w="4985" w:type="pct"/>
            <w:gridSpan w:val="8"/>
            <w:vAlign w:val="center"/>
          </w:tcPr>
          <w:p>
            <w:pPr>
              <w:spacing w:line="240" w:lineRule="auto"/>
              <w:jc w:val="center"/>
              <w:rPr>
                <w:rFonts w:cs="Times New Roman"/>
                <w:sz w:val="24"/>
              </w:rPr>
            </w:pPr>
            <w:bookmarkStart w:id="7" w:name="_Hlk116840190"/>
            <w:r>
              <w:rPr>
                <w:rFonts w:cs="Times New Roman"/>
                <w:sz w:val="24"/>
              </w:rPr>
              <w:t>专栏1  满洲里市“十四五”生态环境保护规划主要指标目标</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gridBefore w:val="1"/>
          <w:wBefore w:w="15" w:type="pct"/>
        </w:trPr>
        <w:tc>
          <w:tcPr>
            <w:tcW w:w="2609" w:type="pct"/>
            <w:gridSpan w:val="4"/>
            <w:vAlign w:val="center"/>
          </w:tcPr>
          <w:p>
            <w:pPr>
              <w:spacing w:line="240" w:lineRule="auto"/>
              <w:jc w:val="center"/>
              <w:rPr>
                <w:rFonts w:cs="Times New Roman"/>
                <w:sz w:val="24"/>
              </w:rPr>
            </w:pPr>
            <w:r>
              <w:rPr>
                <w:rFonts w:cs="Times New Roman"/>
                <w:sz w:val="24"/>
              </w:rPr>
              <w:t>指标</w:t>
            </w:r>
          </w:p>
        </w:tc>
        <w:tc>
          <w:tcPr>
            <w:tcW w:w="843" w:type="pct"/>
            <w:vAlign w:val="center"/>
          </w:tcPr>
          <w:p>
            <w:pPr>
              <w:spacing w:line="240" w:lineRule="auto"/>
              <w:jc w:val="center"/>
              <w:rPr>
                <w:rFonts w:cs="Times New Roman"/>
                <w:sz w:val="24"/>
              </w:rPr>
            </w:pPr>
            <w:r>
              <w:rPr>
                <w:rFonts w:cs="Times New Roman"/>
                <w:sz w:val="24"/>
              </w:rPr>
              <w:t>2020年现状值</w:t>
            </w:r>
          </w:p>
        </w:tc>
        <w:tc>
          <w:tcPr>
            <w:tcW w:w="928" w:type="pct"/>
            <w:vAlign w:val="center"/>
          </w:tcPr>
          <w:p>
            <w:pPr>
              <w:spacing w:line="240" w:lineRule="auto"/>
              <w:jc w:val="center"/>
              <w:rPr>
                <w:rFonts w:cs="Times New Roman"/>
                <w:sz w:val="24"/>
              </w:rPr>
            </w:pPr>
            <w:r>
              <w:rPr>
                <w:rFonts w:cs="Times New Roman"/>
                <w:sz w:val="24"/>
              </w:rPr>
              <w:t>2025年目标值</w:t>
            </w:r>
          </w:p>
        </w:tc>
        <w:tc>
          <w:tcPr>
            <w:tcW w:w="605" w:type="pct"/>
            <w:gridSpan w:val="2"/>
            <w:vAlign w:val="center"/>
          </w:tcPr>
          <w:p>
            <w:pPr>
              <w:spacing w:line="240" w:lineRule="auto"/>
              <w:jc w:val="center"/>
              <w:rPr>
                <w:rFonts w:cs="Times New Roman"/>
                <w:sz w:val="24"/>
              </w:rPr>
            </w:pPr>
            <w:r>
              <w:rPr>
                <w:rFonts w:cs="Times New Roman"/>
                <w:sz w:val="24"/>
              </w:rPr>
              <w:t>属性</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gridBefore w:val="1"/>
          <w:wBefore w:w="15" w:type="pct"/>
        </w:trPr>
        <w:tc>
          <w:tcPr>
            <w:tcW w:w="337" w:type="pct"/>
            <w:vAlign w:val="center"/>
          </w:tcPr>
          <w:p>
            <w:pPr>
              <w:spacing w:line="240" w:lineRule="auto"/>
              <w:jc w:val="center"/>
              <w:rPr>
                <w:rFonts w:cs="Times New Roman"/>
                <w:sz w:val="24"/>
              </w:rPr>
            </w:pPr>
            <w:r>
              <w:rPr>
                <w:rFonts w:cs="Times New Roman"/>
                <w:sz w:val="24"/>
              </w:rPr>
              <w:t>1</w:t>
            </w:r>
          </w:p>
        </w:tc>
        <w:tc>
          <w:tcPr>
            <w:tcW w:w="497" w:type="pct"/>
            <w:vMerge w:val="restart"/>
            <w:vAlign w:val="center"/>
          </w:tcPr>
          <w:p>
            <w:pPr>
              <w:spacing w:line="240" w:lineRule="auto"/>
              <w:jc w:val="center"/>
              <w:rPr>
                <w:rFonts w:cs="Times New Roman"/>
                <w:sz w:val="24"/>
              </w:rPr>
            </w:pPr>
            <w:r>
              <w:rPr>
                <w:rFonts w:cs="Times New Roman"/>
                <w:sz w:val="24"/>
              </w:rPr>
              <w:t>生态环境质量</w:t>
            </w:r>
          </w:p>
        </w:tc>
        <w:tc>
          <w:tcPr>
            <w:tcW w:w="506" w:type="pct"/>
            <w:vMerge w:val="restart"/>
            <w:vAlign w:val="center"/>
          </w:tcPr>
          <w:p>
            <w:pPr>
              <w:spacing w:line="240" w:lineRule="auto"/>
              <w:jc w:val="center"/>
              <w:rPr>
                <w:rFonts w:cs="Times New Roman"/>
                <w:sz w:val="24"/>
              </w:rPr>
            </w:pPr>
            <w:r>
              <w:rPr>
                <w:rFonts w:cs="Times New Roman"/>
                <w:sz w:val="24"/>
              </w:rPr>
              <w:t>空气质量</w:t>
            </w:r>
          </w:p>
        </w:tc>
        <w:tc>
          <w:tcPr>
            <w:tcW w:w="1270" w:type="pct"/>
            <w:vAlign w:val="center"/>
          </w:tcPr>
          <w:p>
            <w:pPr>
              <w:spacing w:line="240" w:lineRule="auto"/>
              <w:jc w:val="center"/>
              <w:rPr>
                <w:rFonts w:cs="Times New Roman"/>
                <w:sz w:val="24"/>
              </w:rPr>
            </w:pPr>
            <w:r>
              <w:rPr>
                <w:rFonts w:cs="Times New Roman"/>
                <w:sz w:val="24"/>
              </w:rPr>
              <w:t>空气质量优良天数比率（%）</w:t>
            </w:r>
          </w:p>
        </w:tc>
        <w:tc>
          <w:tcPr>
            <w:tcW w:w="843" w:type="pct"/>
            <w:vAlign w:val="center"/>
          </w:tcPr>
          <w:p>
            <w:pPr>
              <w:spacing w:line="240" w:lineRule="auto"/>
              <w:jc w:val="center"/>
              <w:rPr>
                <w:rFonts w:cs="Times New Roman"/>
                <w:sz w:val="24"/>
              </w:rPr>
            </w:pPr>
            <w:r>
              <w:rPr>
                <w:rFonts w:cs="Times New Roman"/>
                <w:sz w:val="24"/>
              </w:rPr>
              <w:t>99.7%</w:t>
            </w:r>
          </w:p>
        </w:tc>
        <w:tc>
          <w:tcPr>
            <w:tcW w:w="928" w:type="pct"/>
            <w:vAlign w:val="center"/>
          </w:tcPr>
          <w:p>
            <w:pPr>
              <w:spacing w:line="240" w:lineRule="auto"/>
              <w:jc w:val="center"/>
              <w:rPr>
                <w:rFonts w:cs="Times New Roman"/>
                <w:sz w:val="24"/>
              </w:rPr>
            </w:pPr>
            <w:r>
              <w:rPr>
                <w:rFonts w:cs="Times New Roman"/>
                <w:sz w:val="24"/>
              </w:rPr>
              <w:t>达到呼伦贝尔市考核目标</w:t>
            </w:r>
          </w:p>
        </w:tc>
        <w:tc>
          <w:tcPr>
            <w:tcW w:w="605" w:type="pct"/>
            <w:gridSpan w:val="2"/>
            <w:vAlign w:val="center"/>
          </w:tcPr>
          <w:p>
            <w:pPr>
              <w:spacing w:line="240" w:lineRule="auto"/>
              <w:jc w:val="center"/>
              <w:rPr>
                <w:rFonts w:cs="Times New Roman"/>
                <w:sz w:val="24"/>
              </w:rPr>
            </w:pPr>
            <w:r>
              <w:rPr>
                <w:rFonts w:cs="Times New Roman"/>
                <w:sz w:val="24"/>
              </w:rPr>
              <w:t>约束性</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gridBefore w:val="1"/>
          <w:wBefore w:w="15" w:type="pct"/>
        </w:trPr>
        <w:tc>
          <w:tcPr>
            <w:tcW w:w="337" w:type="pct"/>
            <w:vAlign w:val="center"/>
          </w:tcPr>
          <w:p>
            <w:pPr>
              <w:spacing w:line="240" w:lineRule="auto"/>
              <w:jc w:val="center"/>
              <w:rPr>
                <w:rFonts w:cs="Times New Roman"/>
                <w:sz w:val="24"/>
              </w:rPr>
            </w:pPr>
            <w:r>
              <w:rPr>
                <w:rFonts w:cs="Times New Roman"/>
                <w:sz w:val="24"/>
              </w:rPr>
              <w:t>2</w:t>
            </w:r>
          </w:p>
        </w:tc>
        <w:tc>
          <w:tcPr>
            <w:tcW w:w="497" w:type="pct"/>
            <w:vMerge w:val="continue"/>
            <w:vAlign w:val="center"/>
          </w:tcPr>
          <w:p>
            <w:pPr>
              <w:spacing w:line="240" w:lineRule="auto"/>
              <w:jc w:val="center"/>
              <w:rPr>
                <w:rFonts w:cs="Times New Roman"/>
                <w:sz w:val="24"/>
              </w:rPr>
            </w:pPr>
          </w:p>
        </w:tc>
        <w:tc>
          <w:tcPr>
            <w:tcW w:w="506" w:type="pct"/>
            <w:vMerge w:val="continue"/>
            <w:vAlign w:val="center"/>
          </w:tcPr>
          <w:p>
            <w:pPr>
              <w:spacing w:line="240" w:lineRule="auto"/>
              <w:jc w:val="center"/>
              <w:rPr>
                <w:rFonts w:cs="Times New Roman"/>
                <w:sz w:val="24"/>
              </w:rPr>
            </w:pPr>
          </w:p>
        </w:tc>
        <w:tc>
          <w:tcPr>
            <w:tcW w:w="1270" w:type="pct"/>
            <w:vAlign w:val="center"/>
          </w:tcPr>
          <w:p>
            <w:pPr>
              <w:spacing w:line="240" w:lineRule="auto"/>
              <w:jc w:val="center"/>
              <w:rPr>
                <w:rFonts w:cs="Times New Roman"/>
                <w:sz w:val="24"/>
              </w:rPr>
            </w:pPr>
            <w:r>
              <w:rPr>
                <w:rFonts w:cs="Times New Roman"/>
                <w:sz w:val="24"/>
              </w:rPr>
              <w:t>细颗粒物（PM</w:t>
            </w:r>
            <w:r>
              <w:rPr>
                <w:rFonts w:cs="Times New Roman"/>
                <w:sz w:val="24"/>
                <w:vertAlign w:val="subscript"/>
              </w:rPr>
              <w:t>2.5</w:t>
            </w:r>
            <w:r>
              <w:rPr>
                <w:rFonts w:cs="Times New Roman"/>
                <w:sz w:val="24"/>
              </w:rPr>
              <w:t>）浓度（微克/立方米）</w:t>
            </w:r>
          </w:p>
        </w:tc>
        <w:tc>
          <w:tcPr>
            <w:tcW w:w="843" w:type="pct"/>
            <w:vAlign w:val="center"/>
          </w:tcPr>
          <w:p>
            <w:pPr>
              <w:spacing w:line="240" w:lineRule="auto"/>
              <w:jc w:val="center"/>
              <w:rPr>
                <w:rFonts w:cs="Times New Roman"/>
                <w:sz w:val="24"/>
              </w:rPr>
            </w:pPr>
            <w:r>
              <w:rPr>
                <w:rFonts w:cs="Times New Roman"/>
                <w:sz w:val="24"/>
              </w:rPr>
              <w:t>1</w:t>
            </w:r>
            <w:r>
              <w:rPr>
                <w:rFonts w:hint="eastAsia" w:cs="Times New Roman"/>
                <w:sz w:val="24"/>
              </w:rPr>
              <w:t>0</w:t>
            </w:r>
          </w:p>
        </w:tc>
        <w:tc>
          <w:tcPr>
            <w:tcW w:w="928" w:type="pct"/>
            <w:vAlign w:val="center"/>
          </w:tcPr>
          <w:p>
            <w:pPr>
              <w:spacing w:line="240" w:lineRule="auto"/>
              <w:jc w:val="center"/>
              <w:rPr>
                <w:rFonts w:cs="Times New Roman"/>
                <w:sz w:val="24"/>
              </w:rPr>
            </w:pPr>
            <w:r>
              <w:rPr>
                <w:rFonts w:cs="Times New Roman"/>
                <w:sz w:val="24"/>
              </w:rPr>
              <w:t>达到呼伦贝尔市考核目标</w:t>
            </w:r>
          </w:p>
        </w:tc>
        <w:tc>
          <w:tcPr>
            <w:tcW w:w="605" w:type="pct"/>
            <w:gridSpan w:val="2"/>
            <w:vAlign w:val="center"/>
          </w:tcPr>
          <w:p>
            <w:pPr>
              <w:spacing w:line="240" w:lineRule="auto"/>
              <w:jc w:val="center"/>
              <w:rPr>
                <w:rFonts w:cs="Times New Roman"/>
                <w:sz w:val="24"/>
              </w:rPr>
            </w:pPr>
            <w:r>
              <w:rPr>
                <w:rFonts w:cs="Times New Roman"/>
                <w:sz w:val="24"/>
              </w:rPr>
              <w:t>约束性</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gridBefore w:val="1"/>
          <w:wBefore w:w="15" w:type="pct"/>
        </w:trPr>
        <w:tc>
          <w:tcPr>
            <w:tcW w:w="337" w:type="pct"/>
            <w:vAlign w:val="center"/>
          </w:tcPr>
          <w:p>
            <w:pPr>
              <w:spacing w:line="240" w:lineRule="auto"/>
              <w:jc w:val="center"/>
              <w:rPr>
                <w:rFonts w:cs="Times New Roman"/>
                <w:sz w:val="24"/>
              </w:rPr>
            </w:pPr>
            <w:r>
              <w:rPr>
                <w:rFonts w:cs="Times New Roman"/>
                <w:sz w:val="24"/>
              </w:rPr>
              <w:t>3</w:t>
            </w:r>
          </w:p>
        </w:tc>
        <w:tc>
          <w:tcPr>
            <w:tcW w:w="497" w:type="pct"/>
            <w:vMerge w:val="continue"/>
            <w:vAlign w:val="center"/>
          </w:tcPr>
          <w:p>
            <w:pPr>
              <w:spacing w:line="240" w:lineRule="auto"/>
              <w:jc w:val="center"/>
              <w:rPr>
                <w:rFonts w:cs="Times New Roman"/>
                <w:sz w:val="24"/>
              </w:rPr>
            </w:pPr>
          </w:p>
        </w:tc>
        <w:tc>
          <w:tcPr>
            <w:tcW w:w="506" w:type="pct"/>
            <w:vMerge w:val="continue"/>
            <w:vAlign w:val="center"/>
          </w:tcPr>
          <w:p>
            <w:pPr>
              <w:spacing w:line="240" w:lineRule="auto"/>
              <w:jc w:val="center"/>
              <w:rPr>
                <w:rFonts w:cs="Times New Roman"/>
                <w:sz w:val="24"/>
              </w:rPr>
            </w:pPr>
          </w:p>
        </w:tc>
        <w:tc>
          <w:tcPr>
            <w:tcW w:w="1270" w:type="pct"/>
            <w:vAlign w:val="center"/>
          </w:tcPr>
          <w:p>
            <w:pPr>
              <w:spacing w:line="240" w:lineRule="auto"/>
              <w:jc w:val="center"/>
              <w:rPr>
                <w:rFonts w:cs="Times New Roman"/>
                <w:sz w:val="24"/>
              </w:rPr>
            </w:pPr>
            <w:r>
              <w:rPr>
                <w:rFonts w:cs="Times New Roman"/>
                <w:sz w:val="24"/>
              </w:rPr>
              <w:t>重污染天气比率（%）</w:t>
            </w:r>
          </w:p>
        </w:tc>
        <w:tc>
          <w:tcPr>
            <w:tcW w:w="843" w:type="pct"/>
            <w:vAlign w:val="center"/>
          </w:tcPr>
          <w:p>
            <w:pPr>
              <w:spacing w:line="240" w:lineRule="auto"/>
              <w:jc w:val="center"/>
              <w:rPr>
                <w:rFonts w:cs="Times New Roman"/>
                <w:sz w:val="24"/>
              </w:rPr>
            </w:pPr>
            <w:r>
              <w:rPr>
                <w:rFonts w:cs="Times New Roman"/>
                <w:sz w:val="24"/>
              </w:rPr>
              <w:t>0</w:t>
            </w:r>
          </w:p>
        </w:tc>
        <w:tc>
          <w:tcPr>
            <w:tcW w:w="928" w:type="pct"/>
            <w:vAlign w:val="center"/>
          </w:tcPr>
          <w:p>
            <w:pPr>
              <w:spacing w:line="240" w:lineRule="auto"/>
              <w:jc w:val="center"/>
              <w:rPr>
                <w:rFonts w:cs="Times New Roman"/>
                <w:sz w:val="24"/>
              </w:rPr>
            </w:pPr>
            <w:r>
              <w:rPr>
                <w:rFonts w:cs="Times New Roman"/>
                <w:sz w:val="24"/>
              </w:rPr>
              <w:t>0</w:t>
            </w:r>
          </w:p>
        </w:tc>
        <w:tc>
          <w:tcPr>
            <w:tcW w:w="605" w:type="pct"/>
            <w:gridSpan w:val="2"/>
            <w:vAlign w:val="center"/>
          </w:tcPr>
          <w:p>
            <w:pPr>
              <w:spacing w:line="240" w:lineRule="auto"/>
              <w:jc w:val="center"/>
              <w:rPr>
                <w:rFonts w:cs="Times New Roman"/>
                <w:sz w:val="24"/>
              </w:rPr>
            </w:pPr>
            <w:r>
              <w:rPr>
                <w:rFonts w:cs="Times New Roman"/>
                <w:sz w:val="24"/>
              </w:rPr>
              <w:t>约束性</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gridBefore w:val="1"/>
          <w:wBefore w:w="15" w:type="pct"/>
        </w:trPr>
        <w:tc>
          <w:tcPr>
            <w:tcW w:w="337" w:type="pct"/>
            <w:vAlign w:val="center"/>
          </w:tcPr>
          <w:p>
            <w:pPr>
              <w:spacing w:line="240" w:lineRule="auto"/>
              <w:jc w:val="center"/>
              <w:rPr>
                <w:rFonts w:cs="Times New Roman"/>
                <w:sz w:val="24"/>
              </w:rPr>
            </w:pPr>
            <w:r>
              <w:rPr>
                <w:rFonts w:cs="Times New Roman"/>
                <w:sz w:val="24"/>
              </w:rPr>
              <w:t>4</w:t>
            </w:r>
          </w:p>
        </w:tc>
        <w:tc>
          <w:tcPr>
            <w:tcW w:w="497" w:type="pct"/>
            <w:vMerge w:val="continue"/>
            <w:vAlign w:val="center"/>
          </w:tcPr>
          <w:p>
            <w:pPr>
              <w:spacing w:line="240" w:lineRule="auto"/>
              <w:jc w:val="center"/>
              <w:rPr>
                <w:rFonts w:cs="Times New Roman"/>
                <w:sz w:val="24"/>
              </w:rPr>
            </w:pPr>
          </w:p>
        </w:tc>
        <w:tc>
          <w:tcPr>
            <w:tcW w:w="506" w:type="pct"/>
            <w:vMerge w:val="restart"/>
            <w:vAlign w:val="center"/>
          </w:tcPr>
          <w:p>
            <w:pPr>
              <w:spacing w:line="240" w:lineRule="auto"/>
              <w:jc w:val="center"/>
              <w:rPr>
                <w:rFonts w:cs="Times New Roman"/>
                <w:sz w:val="24"/>
              </w:rPr>
            </w:pPr>
            <w:r>
              <w:rPr>
                <w:rFonts w:cs="Times New Roman"/>
                <w:sz w:val="24"/>
              </w:rPr>
              <w:t>水生态环境</w:t>
            </w:r>
          </w:p>
        </w:tc>
        <w:tc>
          <w:tcPr>
            <w:tcW w:w="1270" w:type="pct"/>
            <w:vAlign w:val="center"/>
          </w:tcPr>
          <w:p>
            <w:pPr>
              <w:spacing w:line="240" w:lineRule="auto"/>
              <w:jc w:val="center"/>
              <w:rPr>
                <w:rFonts w:cs="Times New Roman"/>
                <w:sz w:val="24"/>
              </w:rPr>
            </w:pPr>
            <w:r>
              <w:rPr>
                <w:rFonts w:cs="Times New Roman"/>
                <w:sz w:val="24"/>
              </w:rPr>
              <w:t>地表水考核断面水质好于Ⅲ类水体比例（%）</w:t>
            </w:r>
          </w:p>
        </w:tc>
        <w:tc>
          <w:tcPr>
            <w:tcW w:w="843" w:type="pct"/>
            <w:vAlign w:val="center"/>
          </w:tcPr>
          <w:p>
            <w:pPr>
              <w:spacing w:line="240" w:lineRule="auto"/>
              <w:jc w:val="center"/>
              <w:rPr>
                <w:rFonts w:cs="Times New Roman"/>
                <w:sz w:val="24"/>
              </w:rPr>
            </w:pPr>
            <w:r>
              <w:rPr>
                <w:rFonts w:cs="Times New Roman"/>
                <w:sz w:val="24"/>
              </w:rPr>
              <w:t>70.6</w:t>
            </w:r>
          </w:p>
        </w:tc>
        <w:tc>
          <w:tcPr>
            <w:tcW w:w="928" w:type="pct"/>
            <w:vAlign w:val="center"/>
          </w:tcPr>
          <w:p>
            <w:pPr>
              <w:spacing w:line="240" w:lineRule="auto"/>
              <w:jc w:val="center"/>
              <w:rPr>
                <w:rFonts w:cs="Times New Roman"/>
                <w:sz w:val="24"/>
              </w:rPr>
            </w:pPr>
            <w:r>
              <w:rPr>
                <w:rFonts w:cs="Times New Roman"/>
                <w:sz w:val="24"/>
              </w:rPr>
              <w:t>达到呼伦贝尔市考核目标</w:t>
            </w:r>
          </w:p>
        </w:tc>
        <w:tc>
          <w:tcPr>
            <w:tcW w:w="605" w:type="pct"/>
            <w:gridSpan w:val="2"/>
            <w:vAlign w:val="center"/>
          </w:tcPr>
          <w:p>
            <w:pPr>
              <w:spacing w:line="240" w:lineRule="auto"/>
              <w:jc w:val="center"/>
              <w:rPr>
                <w:rFonts w:cs="Times New Roman"/>
                <w:sz w:val="24"/>
              </w:rPr>
            </w:pPr>
            <w:r>
              <w:rPr>
                <w:rFonts w:cs="Times New Roman"/>
                <w:sz w:val="24"/>
              </w:rPr>
              <w:t>约束性</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gridBefore w:val="1"/>
          <w:wBefore w:w="15" w:type="pct"/>
        </w:trPr>
        <w:tc>
          <w:tcPr>
            <w:tcW w:w="337" w:type="pct"/>
            <w:vAlign w:val="center"/>
          </w:tcPr>
          <w:p>
            <w:pPr>
              <w:spacing w:line="240" w:lineRule="auto"/>
              <w:jc w:val="center"/>
              <w:rPr>
                <w:rFonts w:cs="Times New Roman"/>
                <w:sz w:val="24"/>
              </w:rPr>
            </w:pPr>
            <w:r>
              <w:rPr>
                <w:rFonts w:cs="Times New Roman"/>
                <w:sz w:val="24"/>
              </w:rPr>
              <w:t>5</w:t>
            </w:r>
          </w:p>
        </w:tc>
        <w:tc>
          <w:tcPr>
            <w:tcW w:w="497" w:type="pct"/>
            <w:vMerge w:val="continue"/>
            <w:vAlign w:val="center"/>
          </w:tcPr>
          <w:p>
            <w:pPr>
              <w:spacing w:line="240" w:lineRule="auto"/>
              <w:jc w:val="center"/>
              <w:rPr>
                <w:rFonts w:cs="Times New Roman"/>
                <w:sz w:val="24"/>
              </w:rPr>
            </w:pPr>
          </w:p>
        </w:tc>
        <w:tc>
          <w:tcPr>
            <w:tcW w:w="506" w:type="pct"/>
            <w:vMerge w:val="continue"/>
            <w:vAlign w:val="center"/>
          </w:tcPr>
          <w:p>
            <w:pPr>
              <w:spacing w:line="240" w:lineRule="auto"/>
              <w:jc w:val="center"/>
              <w:rPr>
                <w:rFonts w:cs="Times New Roman"/>
                <w:sz w:val="24"/>
              </w:rPr>
            </w:pPr>
          </w:p>
        </w:tc>
        <w:tc>
          <w:tcPr>
            <w:tcW w:w="1270" w:type="pct"/>
            <w:vAlign w:val="center"/>
          </w:tcPr>
          <w:p>
            <w:pPr>
              <w:spacing w:line="240" w:lineRule="auto"/>
              <w:jc w:val="center"/>
              <w:rPr>
                <w:rFonts w:cs="Times New Roman"/>
                <w:sz w:val="24"/>
              </w:rPr>
            </w:pPr>
            <w:r>
              <w:rPr>
                <w:rFonts w:cs="Times New Roman"/>
                <w:sz w:val="24"/>
              </w:rPr>
              <w:t>地表水考核断面水质劣V类水体比例（%）</w:t>
            </w:r>
          </w:p>
        </w:tc>
        <w:tc>
          <w:tcPr>
            <w:tcW w:w="843" w:type="pct"/>
            <w:vAlign w:val="center"/>
          </w:tcPr>
          <w:p>
            <w:pPr>
              <w:spacing w:line="240" w:lineRule="auto"/>
              <w:jc w:val="center"/>
              <w:rPr>
                <w:rFonts w:cs="Times New Roman"/>
                <w:sz w:val="24"/>
              </w:rPr>
            </w:pPr>
            <w:r>
              <w:rPr>
                <w:rFonts w:cs="Times New Roman"/>
                <w:sz w:val="24"/>
              </w:rPr>
              <w:t>5.9</w:t>
            </w:r>
          </w:p>
        </w:tc>
        <w:tc>
          <w:tcPr>
            <w:tcW w:w="928" w:type="pct"/>
            <w:vAlign w:val="center"/>
          </w:tcPr>
          <w:p>
            <w:pPr>
              <w:spacing w:line="240" w:lineRule="auto"/>
              <w:jc w:val="center"/>
              <w:rPr>
                <w:rFonts w:cs="Times New Roman"/>
                <w:sz w:val="24"/>
              </w:rPr>
            </w:pPr>
            <w:r>
              <w:rPr>
                <w:rFonts w:hint="eastAsia" w:cs="Times New Roman"/>
                <w:sz w:val="24"/>
              </w:rPr>
              <w:t>达到呼伦贝尔市考核目标</w:t>
            </w:r>
          </w:p>
        </w:tc>
        <w:tc>
          <w:tcPr>
            <w:tcW w:w="605" w:type="pct"/>
            <w:gridSpan w:val="2"/>
            <w:vAlign w:val="center"/>
          </w:tcPr>
          <w:p>
            <w:pPr>
              <w:spacing w:line="240" w:lineRule="auto"/>
              <w:jc w:val="center"/>
              <w:rPr>
                <w:rFonts w:cs="Times New Roman"/>
                <w:sz w:val="24"/>
              </w:rPr>
            </w:pPr>
            <w:r>
              <w:rPr>
                <w:rFonts w:cs="Times New Roman"/>
                <w:sz w:val="24"/>
              </w:rPr>
              <w:t>约束性</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gridBefore w:val="1"/>
          <w:wBefore w:w="15" w:type="pct"/>
        </w:trPr>
        <w:tc>
          <w:tcPr>
            <w:tcW w:w="337" w:type="pct"/>
            <w:vAlign w:val="center"/>
          </w:tcPr>
          <w:p>
            <w:pPr>
              <w:spacing w:line="240" w:lineRule="auto"/>
              <w:jc w:val="center"/>
              <w:rPr>
                <w:rFonts w:cs="Times New Roman"/>
                <w:sz w:val="24"/>
              </w:rPr>
            </w:pPr>
            <w:r>
              <w:rPr>
                <w:rFonts w:cs="Times New Roman"/>
                <w:sz w:val="24"/>
              </w:rPr>
              <w:t>6</w:t>
            </w:r>
          </w:p>
        </w:tc>
        <w:tc>
          <w:tcPr>
            <w:tcW w:w="497" w:type="pct"/>
            <w:vMerge w:val="continue"/>
            <w:vAlign w:val="center"/>
          </w:tcPr>
          <w:p>
            <w:pPr>
              <w:spacing w:line="240" w:lineRule="auto"/>
              <w:jc w:val="center"/>
              <w:rPr>
                <w:rFonts w:cs="Times New Roman"/>
                <w:sz w:val="24"/>
              </w:rPr>
            </w:pPr>
          </w:p>
        </w:tc>
        <w:tc>
          <w:tcPr>
            <w:tcW w:w="506" w:type="pct"/>
            <w:vMerge w:val="continue"/>
            <w:vAlign w:val="center"/>
          </w:tcPr>
          <w:p>
            <w:pPr>
              <w:spacing w:line="240" w:lineRule="auto"/>
              <w:jc w:val="center"/>
              <w:rPr>
                <w:rFonts w:cs="Times New Roman"/>
                <w:sz w:val="24"/>
              </w:rPr>
            </w:pPr>
          </w:p>
        </w:tc>
        <w:tc>
          <w:tcPr>
            <w:tcW w:w="1270" w:type="pct"/>
            <w:vAlign w:val="center"/>
          </w:tcPr>
          <w:p>
            <w:pPr>
              <w:spacing w:line="240" w:lineRule="auto"/>
              <w:jc w:val="center"/>
              <w:rPr>
                <w:rFonts w:cs="Times New Roman"/>
                <w:sz w:val="24"/>
              </w:rPr>
            </w:pPr>
            <w:r>
              <w:rPr>
                <w:rFonts w:cs="Times New Roman"/>
                <w:sz w:val="24"/>
              </w:rPr>
              <w:t>城市黑臭水体比例（%）</w:t>
            </w:r>
          </w:p>
        </w:tc>
        <w:tc>
          <w:tcPr>
            <w:tcW w:w="843" w:type="pct"/>
            <w:vAlign w:val="center"/>
          </w:tcPr>
          <w:p>
            <w:pPr>
              <w:spacing w:line="240" w:lineRule="auto"/>
              <w:jc w:val="center"/>
              <w:rPr>
                <w:rFonts w:cs="Times New Roman"/>
                <w:sz w:val="24"/>
              </w:rPr>
            </w:pPr>
            <w:r>
              <w:rPr>
                <w:rFonts w:cs="Times New Roman"/>
                <w:sz w:val="24"/>
              </w:rPr>
              <w:t>0</w:t>
            </w:r>
          </w:p>
        </w:tc>
        <w:tc>
          <w:tcPr>
            <w:tcW w:w="928" w:type="pct"/>
            <w:vAlign w:val="center"/>
          </w:tcPr>
          <w:p>
            <w:pPr>
              <w:spacing w:line="240" w:lineRule="auto"/>
              <w:jc w:val="center"/>
              <w:rPr>
                <w:rFonts w:cs="Times New Roman"/>
                <w:sz w:val="24"/>
              </w:rPr>
            </w:pPr>
            <w:r>
              <w:rPr>
                <w:rFonts w:cs="Times New Roman"/>
                <w:sz w:val="24"/>
              </w:rPr>
              <w:t>0</w:t>
            </w:r>
          </w:p>
        </w:tc>
        <w:tc>
          <w:tcPr>
            <w:tcW w:w="605" w:type="pct"/>
            <w:gridSpan w:val="2"/>
            <w:vAlign w:val="center"/>
          </w:tcPr>
          <w:p>
            <w:pPr>
              <w:spacing w:line="240" w:lineRule="auto"/>
              <w:jc w:val="center"/>
              <w:rPr>
                <w:rFonts w:cs="Times New Roman"/>
                <w:sz w:val="24"/>
              </w:rPr>
            </w:pPr>
            <w:r>
              <w:rPr>
                <w:rFonts w:cs="Times New Roman"/>
                <w:sz w:val="24"/>
              </w:rPr>
              <w:t>预期性</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gridBefore w:val="1"/>
          <w:wBefore w:w="15" w:type="pct"/>
        </w:trPr>
        <w:tc>
          <w:tcPr>
            <w:tcW w:w="337" w:type="pct"/>
            <w:vAlign w:val="center"/>
          </w:tcPr>
          <w:p>
            <w:pPr>
              <w:spacing w:line="240" w:lineRule="auto"/>
              <w:jc w:val="center"/>
              <w:rPr>
                <w:rFonts w:cs="Times New Roman"/>
                <w:sz w:val="24"/>
              </w:rPr>
            </w:pPr>
            <w:r>
              <w:rPr>
                <w:rFonts w:cs="Times New Roman"/>
                <w:sz w:val="24"/>
              </w:rPr>
              <w:t>7</w:t>
            </w:r>
          </w:p>
        </w:tc>
        <w:tc>
          <w:tcPr>
            <w:tcW w:w="497" w:type="pct"/>
            <w:vMerge w:val="restart"/>
            <w:vAlign w:val="center"/>
          </w:tcPr>
          <w:p>
            <w:pPr>
              <w:spacing w:line="240" w:lineRule="auto"/>
              <w:jc w:val="center"/>
              <w:rPr>
                <w:rFonts w:cs="Times New Roman"/>
                <w:sz w:val="24"/>
              </w:rPr>
            </w:pPr>
            <w:r>
              <w:rPr>
                <w:rFonts w:cs="Times New Roman"/>
                <w:sz w:val="24"/>
              </w:rPr>
              <w:t>绿色化发展</w:t>
            </w:r>
          </w:p>
        </w:tc>
        <w:tc>
          <w:tcPr>
            <w:tcW w:w="506" w:type="pct"/>
            <w:vMerge w:val="restart"/>
            <w:vAlign w:val="center"/>
          </w:tcPr>
          <w:p>
            <w:pPr>
              <w:spacing w:line="240" w:lineRule="auto"/>
              <w:jc w:val="center"/>
              <w:rPr>
                <w:rFonts w:cs="Times New Roman"/>
                <w:sz w:val="24"/>
              </w:rPr>
            </w:pPr>
            <w:r>
              <w:rPr>
                <w:rFonts w:cs="Times New Roman"/>
                <w:sz w:val="24"/>
              </w:rPr>
              <w:t>应对气候变化</w:t>
            </w:r>
          </w:p>
        </w:tc>
        <w:tc>
          <w:tcPr>
            <w:tcW w:w="1270" w:type="pct"/>
            <w:vAlign w:val="center"/>
          </w:tcPr>
          <w:p>
            <w:pPr>
              <w:spacing w:line="240" w:lineRule="auto"/>
              <w:jc w:val="center"/>
              <w:rPr>
                <w:rFonts w:cs="Times New Roman"/>
                <w:sz w:val="24"/>
              </w:rPr>
            </w:pPr>
            <w:r>
              <w:rPr>
                <w:rFonts w:cs="Times New Roman"/>
                <w:sz w:val="24"/>
              </w:rPr>
              <w:t>单位国内生产总值二氧化碳排放降低（%）</w:t>
            </w:r>
          </w:p>
        </w:tc>
        <w:tc>
          <w:tcPr>
            <w:tcW w:w="843" w:type="pct"/>
            <w:vAlign w:val="center"/>
          </w:tcPr>
          <w:p>
            <w:pPr>
              <w:spacing w:line="240" w:lineRule="auto"/>
              <w:jc w:val="center"/>
              <w:rPr>
                <w:rFonts w:cs="Times New Roman"/>
                <w:sz w:val="24"/>
              </w:rPr>
            </w:pPr>
            <w:r>
              <w:rPr>
                <w:rFonts w:cs="Times New Roman"/>
                <w:sz w:val="24"/>
              </w:rPr>
              <w:t>1.45</w:t>
            </w:r>
          </w:p>
        </w:tc>
        <w:tc>
          <w:tcPr>
            <w:tcW w:w="928" w:type="pct"/>
            <w:vAlign w:val="center"/>
          </w:tcPr>
          <w:p>
            <w:pPr>
              <w:spacing w:line="240" w:lineRule="auto"/>
              <w:jc w:val="center"/>
              <w:rPr>
                <w:rFonts w:cs="Times New Roman"/>
                <w:sz w:val="24"/>
              </w:rPr>
            </w:pPr>
            <w:r>
              <w:rPr>
                <w:rFonts w:cs="Times New Roman"/>
                <w:sz w:val="24"/>
              </w:rPr>
              <w:t>达到呼伦贝尔市考核目标</w:t>
            </w:r>
          </w:p>
        </w:tc>
        <w:tc>
          <w:tcPr>
            <w:tcW w:w="605" w:type="pct"/>
            <w:gridSpan w:val="2"/>
            <w:vAlign w:val="center"/>
          </w:tcPr>
          <w:p>
            <w:pPr>
              <w:spacing w:line="240" w:lineRule="auto"/>
              <w:jc w:val="center"/>
              <w:rPr>
                <w:rFonts w:cs="Times New Roman"/>
                <w:sz w:val="24"/>
              </w:rPr>
            </w:pPr>
            <w:r>
              <w:rPr>
                <w:rFonts w:cs="Times New Roman"/>
                <w:sz w:val="24"/>
              </w:rPr>
              <w:t>约束性</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gridBefore w:val="1"/>
          <w:wBefore w:w="15" w:type="pct"/>
        </w:trPr>
        <w:tc>
          <w:tcPr>
            <w:tcW w:w="337" w:type="pct"/>
            <w:vAlign w:val="center"/>
          </w:tcPr>
          <w:p>
            <w:pPr>
              <w:spacing w:line="240" w:lineRule="auto"/>
              <w:jc w:val="center"/>
              <w:rPr>
                <w:rFonts w:cs="Times New Roman"/>
                <w:sz w:val="24"/>
              </w:rPr>
            </w:pPr>
            <w:r>
              <w:rPr>
                <w:rFonts w:cs="Times New Roman"/>
                <w:sz w:val="24"/>
              </w:rPr>
              <w:t>8</w:t>
            </w:r>
          </w:p>
        </w:tc>
        <w:tc>
          <w:tcPr>
            <w:tcW w:w="497" w:type="pct"/>
            <w:vMerge w:val="continue"/>
            <w:vAlign w:val="center"/>
          </w:tcPr>
          <w:p>
            <w:pPr>
              <w:spacing w:line="240" w:lineRule="auto"/>
              <w:jc w:val="center"/>
              <w:rPr>
                <w:rFonts w:cs="Times New Roman"/>
                <w:sz w:val="24"/>
              </w:rPr>
            </w:pPr>
          </w:p>
        </w:tc>
        <w:tc>
          <w:tcPr>
            <w:tcW w:w="506" w:type="pct"/>
            <w:vMerge w:val="continue"/>
            <w:vAlign w:val="center"/>
          </w:tcPr>
          <w:p>
            <w:pPr>
              <w:spacing w:line="240" w:lineRule="auto"/>
              <w:jc w:val="center"/>
              <w:rPr>
                <w:rFonts w:cs="Times New Roman"/>
                <w:sz w:val="24"/>
              </w:rPr>
            </w:pPr>
          </w:p>
        </w:tc>
        <w:tc>
          <w:tcPr>
            <w:tcW w:w="1270" w:type="pct"/>
            <w:vAlign w:val="center"/>
          </w:tcPr>
          <w:p>
            <w:pPr>
              <w:spacing w:line="240" w:lineRule="auto"/>
              <w:jc w:val="center"/>
              <w:rPr>
                <w:rFonts w:cs="Times New Roman"/>
                <w:sz w:val="24"/>
              </w:rPr>
            </w:pPr>
            <w:r>
              <w:rPr>
                <w:rFonts w:cs="Times New Roman"/>
                <w:sz w:val="24"/>
              </w:rPr>
              <w:t>单位国内生产总值能源消耗降低（%）</w:t>
            </w:r>
          </w:p>
        </w:tc>
        <w:tc>
          <w:tcPr>
            <w:tcW w:w="843" w:type="pct"/>
            <w:vAlign w:val="center"/>
          </w:tcPr>
          <w:p>
            <w:pPr>
              <w:spacing w:line="240" w:lineRule="auto"/>
              <w:jc w:val="center"/>
              <w:rPr>
                <w:rFonts w:cs="Times New Roman"/>
                <w:sz w:val="24"/>
              </w:rPr>
            </w:pPr>
            <w:r>
              <w:rPr>
                <w:rFonts w:cs="Times New Roman"/>
                <w:sz w:val="24"/>
              </w:rPr>
              <w:t>8.4</w:t>
            </w:r>
          </w:p>
        </w:tc>
        <w:tc>
          <w:tcPr>
            <w:tcW w:w="928" w:type="pct"/>
            <w:vAlign w:val="center"/>
          </w:tcPr>
          <w:p>
            <w:pPr>
              <w:spacing w:line="240" w:lineRule="auto"/>
              <w:jc w:val="center"/>
              <w:rPr>
                <w:rFonts w:cs="Times New Roman"/>
                <w:sz w:val="24"/>
              </w:rPr>
            </w:pPr>
            <w:r>
              <w:rPr>
                <w:rFonts w:cs="Times New Roman"/>
                <w:sz w:val="24"/>
              </w:rPr>
              <w:t>达到呼伦贝尔市考核目标</w:t>
            </w:r>
          </w:p>
        </w:tc>
        <w:tc>
          <w:tcPr>
            <w:tcW w:w="605" w:type="pct"/>
            <w:gridSpan w:val="2"/>
            <w:vAlign w:val="center"/>
          </w:tcPr>
          <w:p>
            <w:pPr>
              <w:spacing w:line="240" w:lineRule="auto"/>
              <w:jc w:val="center"/>
              <w:rPr>
                <w:rFonts w:cs="Times New Roman"/>
                <w:sz w:val="24"/>
              </w:rPr>
            </w:pPr>
            <w:r>
              <w:rPr>
                <w:rFonts w:cs="Times New Roman"/>
                <w:sz w:val="24"/>
              </w:rPr>
              <w:t>约束性</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gridBefore w:val="1"/>
          <w:wBefore w:w="15" w:type="pct"/>
        </w:trPr>
        <w:tc>
          <w:tcPr>
            <w:tcW w:w="337" w:type="pct"/>
            <w:vAlign w:val="center"/>
          </w:tcPr>
          <w:p>
            <w:pPr>
              <w:spacing w:line="240" w:lineRule="auto"/>
              <w:jc w:val="center"/>
              <w:rPr>
                <w:rFonts w:cs="Times New Roman"/>
                <w:sz w:val="24"/>
              </w:rPr>
            </w:pPr>
            <w:r>
              <w:rPr>
                <w:rFonts w:cs="Times New Roman"/>
                <w:sz w:val="24"/>
              </w:rPr>
              <w:t>9-</w:t>
            </w:r>
          </w:p>
        </w:tc>
        <w:tc>
          <w:tcPr>
            <w:tcW w:w="497" w:type="pct"/>
            <w:vMerge w:val="continue"/>
            <w:vAlign w:val="center"/>
          </w:tcPr>
          <w:p>
            <w:pPr>
              <w:spacing w:line="240" w:lineRule="auto"/>
              <w:jc w:val="center"/>
              <w:rPr>
                <w:rFonts w:cs="Times New Roman"/>
                <w:sz w:val="24"/>
              </w:rPr>
            </w:pPr>
          </w:p>
        </w:tc>
        <w:tc>
          <w:tcPr>
            <w:tcW w:w="506" w:type="pct"/>
            <w:vMerge w:val="continue"/>
            <w:vAlign w:val="center"/>
          </w:tcPr>
          <w:p>
            <w:pPr>
              <w:spacing w:line="240" w:lineRule="auto"/>
              <w:jc w:val="center"/>
              <w:rPr>
                <w:rFonts w:cs="Times New Roman"/>
                <w:sz w:val="24"/>
              </w:rPr>
            </w:pPr>
          </w:p>
        </w:tc>
        <w:tc>
          <w:tcPr>
            <w:tcW w:w="1270" w:type="pct"/>
            <w:vAlign w:val="center"/>
          </w:tcPr>
          <w:p>
            <w:pPr>
              <w:spacing w:line="240" w:lineRule="auto"/>
              <w:jc w:val="center"/>
              <w:rPr>
                <w:rFonts w:cs="Times New Roman"/>
                <w:sz w:val="24"/>
              </w:rPr>
            </w:pPr>
            <w:r>
              <w:rPr>
                <w:rFonts w:cs="Times New Roman"/>
                <w:sz w:val="24"/>
              </w:rPr>
              <w:t>非化石能源占一次能源消费比例（%）</w:t>
            </w:r>
          </w:p>
        </w:tc>
        <w:tc>
          <w:tcPr>
            <w:tcW w:w="843" w:type="pct"/>
            <w:vAlign w:val="center"/>
          </w:tcPr>
          <w:p>
            <w:pPr>
              <w:spacing w:line="240" w:lineRule="auto"/>
              <w:jc w:val="center"/>
              <w:rPr>
                <w:rFonts w:cs="Times New Roman"/>
                <w:sz w:val="24"/>
              </w:rPr>
            </w:pPr>
            <w:r>
              <w:rPr>
                <w:rFonts w:cs="Times New Roman"/>
                <w:sz w:val="24"/>
              </w:rPr>
              <w:t>2.34</w:t>
            </w:r>
          </w:p>
        </w:tc>
        <w:tc>
          <w:tcPr>
            <w:tcW w:w="928" w:type="pct"/>
            <w:vAlign w:val="center"/>
          </w:tcPr>
          <w:p>
            <w:pPr>
              <w:spacing w:line="240" w:lineRule="auto"/>
              <w:jc w:val="center"/>
              <w:rPr>
                <w:rFonts w:cs="Times New Roman"/>
                <w:sz w:val="24"/>
              </w:rPr>
            </w:pPr>
            <w:r>
              <w:rPr>
                <w:rFonts w:cs="Times New Roman"/>
                <w:sz w:val="24"/>
              </w:rPr>
              <w:t>达到呼伦贝尔市考核目标</w:t>
            </w:r>
          </w:p>
        </w:tc>
        <w:tc>
          <w:tcPr>
            <w:tcW w:w="605" w:type="pct"/>
            <w:gridSpan w:val="2"/>
            <w:vAlign w:val="center"/>
          </w:tcPr>
          <w:p>
            <w:pPr>
              <w:spacing w:line="240" w:lineRule="auto"/>
              <w:jc w:val="center"/>
              <w:rPr>
                <w:rFonts w:cs="Times New Roman"/>
                <w:sz w:val="24"/>
              </w:rPr>
            </w:pPr>
            <w:r>
              <w:rPr>
                <w:rFonts w:cs="Times New Roman"/>
                <w:sz w:val="24"/>
              </w:rPr>
              <w:t>预期性</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gridBefore w:val="1"/>
          <w:wBefore w:w="15" w:type="pct"/>
        </w:trPr>
        <w:tc>
          <w:tcPr>
            <w:tcW w:w="337" w:type="pct"/>
            <w:vAlign w:val="center"/>
          </w:tcPr>
          <w:p>
            <w:pPr>
              <w:spacing w:line="240" w:lineRule="auto"/>
              <w:jc w:val="center"/>
              <w:rPr>
                <w:rFonts w:cs="Times New Roman"/>
                <w:sz w:val="24"/>
              </w:rPr>
            </w:pPr>
            <w:r>
              <w:rPr>
                <w:rFonts w:cs="Times New Roman"/>
                <w:sz w:val="24"/>
              </w:rPr>
              <w:t>10</w:t>
            </w:r>
          </w:p>
        </w:tc>
        <w:tc>
          <w:tcPr>
            <w:tcW w:w="497" w:type="pct"/>
            <w:vMerge w:val="continue"/>
            <w:vAlign w:val="center"/>
          </w:tcPr>
          <w:p>
            <w:pPr>
              <w:spacing w:line="240" w:lineRule="auto"/>
              <w:jc w:val="center"/>
              <w:rPr>
                <w:rFonts w:cs="Times New Roman"/>
                <w:sz w:val="24"/>
              </w:rPr>
            </w:pPr>
          </w:p>
        </w:tc>
        <w:tc>
          <w:tcPr>
            <w:tcW w:w="506" w:type="pct"/>
            <w:vMerge w:val="restart"/>
            <w:vAlign w:val="center"/>
          </w:tcPr>
          <w:p>
            <w:pPr>
              <w:spacing w:line="240" w:lineRule="auto"/>
              <w:jc w:val="center"/>
              <w:rPr>
                <w:rFonts w:cs="Times New Roman"/>
                <w:sz w:val="24"/>
              </w:rPr>
            </w:pPr>
            <w:r>
              <w:rPr>
                <w:rFonts w:cs="Times New Roman"/>
                <w:sz w:val="24"/>
              </w:rPr>
              <w:t>主要污染物排放总量</w:t>
            </w:r>
          </w:p>
        </w:tc>
        <w:tc>
          <w:tcPr>
            <w:tcW w:w="1270" w:type="pct"/>
            <w:vAlign w:val="center"/>
          </w:tcPr>
          <w:p>
            <w:pPr>
              <w:spacing w:line="240" w:lineRule="auto"/>
              <w:jc w:val="center"/>
              <w:rPr>
                <w:rFonts w:cs="Times New Roman"/>
                <w:sz w:val="24"/>
              </w:rPr>
            </w:pPr>
            <w:r>
              <w:rPr>
                <w:rFonts w:cs="Times New Roman"/>
                <w:sz w:val="24"/>
              </w:rPr>
              <w:t>氮氧化物排放量减少比例（%）</w:t>
            </w:r>
          </w:p>
        </w:tc>
        <w:tc>
          <w:tcPr>
            <w:tcW w:w="843" w:type="pct"/>
            <w:vAlign w:val="center"/>
          </w:tcPr>
          <w:p>
            <w:pPr>
              <w:spacing w:line="240" w:lineRule="auto"/>
              <w:jc w:val="center"/>
              <w:rPr>
                <w:rFonts w:cs="Times New Roman"/>
                <w:sz w:val="24"/>
              </w:rPr>
            </w:pPr>
            <w:r>
              <w:rPr>
                <w:rFonts w:cs="Times New Roman"/>
                <w:sz w:val="24"/>
              </w:rPr>
              <w:t>--</w:t>
            </w:r>
          </w:p>
        </w:tc>
        <w:tc>
          <w:tcPr>
            <w:tcW w:w="928" w:type="pct"/>
            <w:vAlign w:val="center"/>
          </w:tcPr>
          <w:p>
            <w:pPr>
              <w:spacing w:line="240" w:lineRule="auto"/>
              <w:jc w:val="center"/>
              <w:rPr>
                <w:rFonts w:cs="Times New Roman"/>
                <w:sz w:val="24"/>
              </w:rPr>
            </w:pPr>
            <w:r>
              <w:rPr>
                <w:rFonts w:cs="Times New Roman"/>
                <w:sz w:val="24"/>
              </w:rPr>
              <w:t>达到呼伦贝尔市考核目标</w:t>
            </w:r>
          </w:p>
        </w:tc>
        <w:tc>
          <w:tcPr>
            <w:tcW w:w="605" w:type="pct"/>
            <w:gridSpan w:val="2"/>
            <w:vAlign w:val="center"/>
          </w:tcPr>
          <w:p>
            <w:pPr>
              <w:spacing w:line="240" w:lineRule="auto"/>
              <w:jc w:val="center"/>
              <w:rPr>
                <w:rFonts w:cs="Times New Roman"/>
                <w:sz w:val="24"/>
              </w:rPr>
            </w:pPr>
            <w:r>
              <w:rPr>
                <w:rFonts w:cs="Times New Roman"/>
                <w:sz w:val="24"/>
              </w:rPr>
              <w:t>约束性</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gridBefore w:val="1"/>
          <w:wBefore w:w="15" w:type="pct"/>
        </w:trPr>
        <w:tc>
          <w:tcPr>
            <w:tcW w:w="337" w:type="pct"/>
            <w:vAlign w:val="center"/>
          </w:tcPr>
          <w:p>
            <w:pPr>
              <w:spacing w:line="240" w:lineRule="auto"/>
              <w:jc w:val="center"/>
              <w:rPr>
                <w:rFonts w:cs="Times New Roman"/>
                <w:sz w:val="24"/>
              </w:rPr>
            </w:pPr>
            <w:r>
              <w:rPr>
                <w:rFonts w:cs="Times New Roman"/>
                <w:sz w:val="24"/>
              </w:rPr>
              <w:t>11</w:t>
            </w:r>
          </w:p>
        </w:tc>
        <w:tc>
          <w:tcPr>
            <w:tcW w:w="497" w:type="pct"/>
            <w:vMerge w:val="continue"/>
            <w:vAlign w:val="center"/>
          </w:tcPr>
          <w:p>
            <w:pPr>
              <w:spacing w:line="240" w:lineRule="auto"/>
              <w:jc w:val="center"/>
              <w:rPr>
                <w:rFonts w:cs="Times New Roman"/>
                <w:sz w:val="24"/>
              </w:rPr>
            </w:pPr>
          </w:p>
        </w:tc>
        <w:tc>
          <w:tcPr>
            <w:tcW w:w="506" w:type="pct"/>
            <w:vMerge w:val="continue"/>
            <w:vAlign w:val="center"/>
          </w:tcPr>
          <w:p>
            <w:pPr>
              <w:spacing w:line="240" w:lineRule="auto"/>
              <w:jc w:val="center"/>
              <w:rPr>
                <w:rFonts w:cs="Times New Roman"/>
                <w:sz w:val="24"/>
              </w:rPr>
            </w:pPr>
          </w:p>
        </w:tc>
        <w:tc>
          <w:tcPr>
            <w:tcW w:w="1270" w:type="pct"/>
            <w:vAlign w:val="center"/>
          </w:tcPr>
          <w:p>
            <w:pPr>
              <w:spacing w:line="240" w:lineRule="auto"/>
              <w:jc w:val="center"/>
              <w:rPr>
                <w:rFonts w:cs="Times New Roman"/>
                <w:sz w:val="24"/>
              </w:rPr>
            </w:pPr>
            <w:r>
              <w:rPr>
                <w:rFonts w:cs="Times New Roman"/>
                <w:sz w:val="24"/>
              </w:rPr>
              <w:t>挥发性有机污染物排放量减少比例（%）</w:t>
            </w:r>
          </w:p>
        </w:tc>
        <w:tc>
          <w:tcPr>
            <w:tcW w:w="843" w:type="pct"/>
            <w:vAlign w:val="center"/>
          </w:tcPr>
          <w:p>
            <w:pPr>
              <w:spacing w:line="240" w:lineRule="auto"/>
              <w:jc w:val="center"/>
              <w:rPr>
                <w:rFonts w:cs="Times New Roman"/>
                <w:sz w:val="24"/>
              </w:rPr>
            </w:pPr>
            <w:r>
              <w:rPr>
                <w:rFonts w:cs="Times New Roman"/>
                <w:sz w:val="24"/>
              </w:rPr>
              <w:t>--</w:t>
            </w:r>
          </w:p>
        </w:tc>
        <w:tc>
          <w:tcPr>
            <w:tcW w:w="928" w:type="pct"/>
            <w:vAlign w:val="center"/>
          </w:tcPr>
          <w:p>
            <w:pPr>
              <w:spacing w:line="240" w:lineRule="auto"/>
              <w:jc w:val="center"/>
              <w:rPr>
                <w:rFonts w:cs="Times New Roman"/>
                <w:sz w:val="24"/>
              </w:rPr>
            </w:pPr>
            <w:r>
              <w:rPr>
                <w:rFonts w:cs="Times New Roman"/>
                <w:sz w:val="24"/>
              </w:rPr>
              <w:t>达到呼伦贝尔市考核目标</w:t>
            </w:r>
          </w:p>
        </w:tc>
        <w:tc>
          <w:tcPr>
            <w:tcW w:w="605" w:type="pct"/>
            <w:gridSpan w:val="2"/>
            <w:vAlign w:val="center"/>
          </w:tcPr>
          <w:p>
            <w:pPr>
              <w:spacing w:line="240" w:lineRule="auto"/>
              <w:jc w:val="center"/>
              <w:rPr>
                <w:rFonts w:cs="Times New Roman"/>
                <w:sz w:val="24"/>
              </w:rPr>
            </w:pPr>
            <w:r>
              <w:rPr>
                <w:rFonts w:cs="Times New Roman"/>
                <w:sz w:val="24"/>
              </w:rPr>
              <w:t>约束性</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gridBefore w:val="1"/>
          <w:wBefore w:w="15" w:type="pct"/>
        </w:trPr>
        <w:tc>
          <w:tcPr>
            <w:tcW w:w="337" w:type="pct"/>
            <w:vAlign w:val="center"/>
          </w:tcPr>
          <w:p>
            <w:pPr>
              <w:spacing w:line="240" w:lineRule="auto"/>
              <w:jc w:val="center"/>
              <w:rPr>
                <w:rFonts w:cs="Times New Roman"/>
                <w:sz w:val="24"/>
              </w:rPr>
            </w:pPr>
            <w:r>
              <w:rPr>
                <w:rFonts w:cs="Times New Roman"/>
                <w:sz w:val="24"/>
              </w:rPr>
              <w:t>12</w:t>
            </w:r>
          </w:p>
        </w:tc>
        <w:tc>
          <w:tcPr>
            <w:tcW w:w="497" w:type="pct"/>
            <w:vMerge w:val="continue"/>
            <w:vAlign w:val="center"/>
          </w:tcPr>
          <w:p>
            <w:pPr>
              <w:spacing w:line="240" w:lineRule="auto"/>
              <w:jc w:val="center"/>
              <w:rPr>
                <w:rFonts w:cs="Times New Roman"/>
                <w:sz w:val="24"/>
              </w:rPr>
            </w:pPr>
          </w:p>
        </w:tc>
        <w:tc>
          <w:tcPr>
            <w:tcW w:w="506" w:type="pct"/>
            <w:vMerge w:val="continue"/>
            <w:vAlign w:val="center"/>
          </w:tcPr>
          <w:p>
            <w:pPr>
              <w:spacing w:line="240" w:lineRule="auto"/>
              <w:jc w:val="center"/>
              <w:rPr>
                <w:rFonts w:cs="Times New Roman"/>
                <w:sz w:val="24"/>
              </w:rPr>
            </w:pPr>
          </w:p>
        </w:tc>
        <w:tc>
          <w:tcPr>
            <w:tcW w:w="1270" w:type="pct"/>
            <w:vAlign w:val="center"/>
          </w:tcPr>
          <w:p>
            <w:pPr>
              <w:spacing w:line="240" w:lineRule="auto"/>
              <w:jc w:val="center"/>
              <w:rPr>
                <w:rFonts w:cs="Times New Roman"/>
                <w:sz w:val="24"/>
              </w:rPr>
            </w:pPr>
            <w:r>
              <w:rPr>
                <w:rFonts w:cs="Times New Roman"/>
                <w:sz w:val="24"/>
              </w:rPr>
              <w:t>化学需氧量排放量减少比例（%）</w:t>
            </w:r>
          </w:p>
        </w:tc>
        <w:tc>
          <w:tcPr>
            <w:tcW w:w="843" w:type="pct"/>
            <w:vAlign w:val="center"/>
          </w:tcPr>
          <w:p>
            <w:pPr>
              <w:spacing w:line="240" w:lineRule="auto"/>
              <w:jc w:val="center"/>
              <w:rPr>
                <w:rFonts w:cs="Times New Roman"/>
                <w:sz w:val="24"/>
              </w:rPr>
            </w:pPr>
            <w:r>
              <w:rPr>
                <w:rFonts w:cs="Times New Roman"/>
                <w:sz w:val="24"/>
              </w:rPr>
              <w:t>--</w:t>
            </w:r>
          </w:p>
        </w:tc>
        <w:tc>
          <w:tcPr>
            <w:tcW w:w="928" w:type="pct"/>
            <w:vAlign w:val="center"/>
          </w:tcPr>
          <w:p>
            <w:pPr>
              <w:spacing w:line="240" w:lineRule="auto"/>
              <w:jc w:val="center"/>
              <w:rPr>
                <w:rFonts w:cs="Times New Roman"/>
                <w:sz w:val="24"/>
              </w:rPr>
            </w:pPr>
            <w:r>
              <w:rPr>
                <w:rFonts w:cs="Times New Roman"/>
                <w:sz w:val="24"/>
              </w:rPr>
              <w:t>达到呼伦贝尔市考核目标</w:t>
            </w:r>
          </w:p>
        </w:tc>
        <w:tc>
          <w:tcPr>
            <w:tcW w:w="605" w:type="pct"/>
            <w:gridSpan w:val="2"/>
            <w:vAlign w:val="center"/>
          </w:tcPr>
          <w:p>
            <w:pPr>
              <w:spacing w:line="240" w:lineRule="auto"/>
              <w:jc w:val="center"/>
              <w:rPr>
                <w:rFonts w:cs="Times New Roman"/>
                <w:sz w:val="24"/>
              </w:rPr>
            </w:pPr>
            <w:r>
              <w:rPr>
                <w:rFonts w:cs="Times New Roman"/>
                <w:sz w:val="24"/>
              </w:rPr>
              <w:t>约束性</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gridBefore w:val="1"/>
          <w:wBefore w:w="15" w:type="pct"/>
        </w:trPr>
        <w:tc>
          <w:tcPr>
            <w:tcW w:w="337" w:type="pct"/>
            <w:vAlign w:val="center"/>
          </w:tcPr>
          <w:p>
            <w:pPr>
              <w:spacing w:line="240" w:lineRule="auto"/>
              <w:jc w:val="center"/>
              <w:rPr>
                <w:rFonts w:cs="Times New Roman"/>
                <w:sz w:val="24"/>
              </w:rPr>
            </w:pPr>
            <w:r>
              <w:rPr>
                <w:rFonts w:cs="Times New Roman"/>
                <w:sz w:val="24"/>
              </w:rPr>
              <w:t>13</w:t>
            </w:r>
          </w:p>
        </w:tc>
        <w:tc>
          <w:tcPr>
            <w:tcW w:w="497" w:type="pct"/>
            <w:vMerge w:val="continue"/>
            <w:vAlign w:val="center"/>
          </w:tcPr>
          <w:p>
            <w:pPr>
              <w:spacing w:line="240" w:lineRule="auto"/>
              <w:jc w:val="center"/>
              <w:rPr>
                <w:rFonts w:cs="Times New Roman"/>
                <w:sz w:val="24"/>
              </w:rPr>
            </w:pPr>
          </w:p>
        </w:tc>
        <w:tc>
          <w:tcPr>
            <w:tcW w:w="506" w:type="pct"/>
            <w:vMerge w:val="continue"/>
            <w:vAlign w:val="center"/>
          </w:tcPr>
          <w:p>
            <w:pPr>
              <w:spacing w:line="240" w:lineRule="auto"/>
              <w:jc w:val="center"/>
              <w:rPr>
                <w:rFonts w:cs="Times New Roman"/>
                <w:sz w:val="24"/>
              </w:rPr>
            </w:pPr>
          </w:p>
        </w:tc>
        <w:tc>
          <w:tcPr>
            <w:tcW w:w="1270" w:type="pct"/>
            <w:vAlign w:val="center"/>
          </w:tcPr>
          <w:p>
            <w:pPr>
              <w:spacing w:line="240" w:lineRule="auto"/>
              <w:jc w:val="center"/>
              <w:rPr>
                <w:rFonts w:cs="Times New Roman"/>
                <w:sz w:val="24"/>
              </w:rPr>
            </w:pPr>
            <w:r>
              <w:rPr>
                <w:rFonts w:cs="Times New Roman"/>
                <w:sz w:val="24"/>
              </w:rPr>
              <w:t>氨氮排放量减少比例（%）</w:t>
            </w:r>
          </w:p>
        </w:tc>
        <w:tc>
          <w:tcPr>
            <w:tcW w:w="843" w:type="pct"/>
            <w:vAlign w:val="center"/>
          </w:tcPr>
          <w:p>
            <w:pPr>
              <w:spacing w:line="240" w:lineRule="auto"/>
              <w:jc w:val="center"/>
              <w:rPr>
                <w:rFonts w:cs="Times New Roman"/>
                <w:sz w:val="24"/>
              </w:rPr>
            </w:pPr>
            <w:r>
              <w:rPr>
                <w:rFonts w:cs="Times New Roman"/>
                <w:sz w:val="24"/>
              </w:rPr>
              <w:t>--</w:t>
            </w:r>
          </w:p>
        </w:tc>
        <w:tc>
          <w:tcPr>
            <w:tcW w:w="928" w:type="pct"/>
            <w:vAlign w:val="center"/>
          </w:tcPr>
          <w:p>
            <w:pPr>
              <w:spacing w:line="240" w:lineRule="auto"/>
              <w:jc w:val="center"/>
              <w:rPr>
                <w:rFonts w:cs="Times New Roman"/>
                <w:sz w:val="24"/>
              </w:rPr>
            </w:pPr>
            <w:r>
              <w:rPr>
                <w:rFonts w:cs="Times New Roman"/>
                <w:sz w:val="24"/>
              </w:rPr>
              <w:t>达到呼伦贝尔市考核目标</w:t>
            </w:r>
          </w:p>
        </w:tc>
        <w:tc>
          <w:tcPr>
            <w:tcW w:w="605" w:type="pct"/>
            <w:gridSpan w:val="2"/>
            <w:vAlign w:val="center"/>
          </w:tcPr>
          <w:p>
            <w:pPr>
              <w:spacing w:line="240" w:lineRule="auto"/>
              <w:jc w:val="center"/>
              <w:rPr>
                <w:rFonts w:cs="Times New Roman"/>
                <w:sz w:val="24"/>
              </w:rPr>
            </w:pPr>
            <w:r>
              <w:rPr>
                <w:rFonts w:cs="Times New Roman"/>
                <w:sz w:val="24"/>
              </w:rPr>
              <w:t>约束性</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352" w:type="pct"/>
            <w:gridSpan w:val="2"/>
            <w:vAlign w:val="center"/>
          </w:tcPr>
          <w:p>
            <w:pPr>
              <w:spacing w:line="240" w:lineRule="auto"/>
              <w:jc w:val="center"/>
              <w:rPr>
                <w:rFonts w:cs="Times New Roman"/>
                <w:sz w:val="24"/>
              </w:rPr>
            </w:pPr>
            <w:r>
              <w:rPr>
                <w:rFonts w:cs="Times New Roman"/>
                <w:sz w:val="24"/>
              </w:rPr>
              <w:t>14</w:t>
            </w:r>
          </w:p>
        </w:tc>
        <w:tc>
          <w:tcPr>
            <w:tcW w:w="497" w:type="pct"/>
            <w:vMerge w:val="restart"/>
            <w:vAlign w:val="center"/>
          </w:tcPr>
          <w:p>
            <w:pPr>
              <w:spacing w:line="240" w:lineRule="auto"/>
              <w:jc w:val="center"/>
              <w:rPr>
                <w:rFonts w:cs="Times New Roman"/>
                <w:sz w:val="24"/>
              </w:rPr>
            </w:pPr>
            <w:r>
              <w:rPr>
                <w:rFonts w:cs="Times New Roman"/>
                <w:sz w:val="24"/>
              </w:rPr>
              <w:t>生态系统质量</w:t>
            </w:r>
          </w:p>
        </w:tc>
        <w:tc>
          <w:tcPr>
            <w:tcW w:w="1776" w:type="pct"/>
            <w:gridSpan w:val="2"/>
            <w:vAlign w:val="center"/>
          </w:tcPr>
          <w:p>
            <w:pPr>
              <w:spacing w:line="240" w:lineRule="auto"/>
              <w:jc w:val="center"/>
              <w:rPr>
                <w:rFonts w:cs="Times New Roman"/>
                <w:sz w:val="24"/>
              </w:rPr>
            </w:pPr>
            <w:r>
              <w:rPr>
                <w:rFonts w:cs="Times New Roman"/>
                <w:sz w:val="24"/>
              </w:rPr>
              <w:t>生态保护红线占国土空间面积的比例（%）</w:t>
            </w:r>
          </w:p>
        </w:tc>
        <w:tc>
          <w:tcPr>
            <w:tcW w:w="843" w:type="pct"/>
            <w:vAlign w:val="center"/>
          </w:tcPr>
          <w:p>
            <w:pPr>
              <w:spacing w:line="240" w:lineRule="auto"/>
              <w:jc w:val="center"/>
              <w:rPr>
                <w:rFonts w:cs="Times New Roman"/>
                <w:sz w:val="24"/>
              </w:rPr>
            </w:pPr>
            <w:r>
              <w:rPr>
                <w:rFonts w:hint="eastAsia" w:cs="Times New Roman"/>
                <w:sz w:val="24"/>
              </w:rPr>
              <w:t>1</w:t>
            </w:r>
            <w:r>
              <w:rPr>
                <w:rFonts w:cs="Times New Roman"/>
                <w:sz w:val="24"/>
              </w:rPr>
              <w:t>5.36</w:t>
            </w:r>
          </w:p>
        </w:tc>
        <w:tc>
          <w:tcPr>
            <w:tcW w:w="928" w:type="pct"/>
            <w:vAlign w:val="center"/>
          </w:tcPr>
          <w:p>
            <w:pPr>
              <w:spacing w:line="240" w:lineRule="auto"/>
              <w:jc w:val="center"/>
              <w:rPr>
                <w:rFonts w:cs="Times New Roman"/>
                <w:sz w:val="24"/>
              </w:rPr>
            </w:pPr>
            <w:r>
              <w:rPr>
                <w:rFonts w:cs="Times New Roman"/>
                <w:sz w:val="24"/>
              </w:rPr>
              <w:t>不降低</w:t>
            </w:r>
          </w:p>
        </w:tc>
        <w:tc>
          <w:tcPr>
            <w:tcW w:w="605" w:type="pct"/>
            <w:gridSpan w:val="2"/>
            <w:vAlign w:val="center"/>
          </w:tcPr>
          <w:p>
            <w:pPr>
              <w:spacing w:line="240" w:lineRule="auto"/>
              <w:jc w:val="center"/>
              <w:rPr>
                <w:rFonts w:cs="Times New Roman"/>
                <w:sz w:val="24"/>
              </w:rPr>
            </w:pPr>
            <w:r>
              <w:rPr>
                <w:rFonts w:cs="Times New Roman"/>
                <w:sz w:val="24"/>
              </w:rPr>
              <w:t>预期性</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352" w:type="pct"/>
            <w:gridSpan w:val="2"/>
            <w:vAlign w:val="center"/>
          </w:tcPr>
          <w:p>
            <w:pPr>
              <w:spacing w:line="240" w:lineRule="auto"/>
              <w:jc w:val="center"/>
              <w:rPr>
                <w:rFonts w:cs="Times New Roman"/>
                <w:sz w:val="24"/>
              </w:rPr>
            </w:pPr>
            <w:r>
              <w:rPr>
                <w:rFonts w:cs="Times New Roman"/>
                <w:sz w:val="24"/>
              </w:rPr>
              <w:t>15</w:t>
            </w:r>
          </w:p>
        </w:tc>
        <w:tc>
          <w:tcPr>
            <w:tcW w:w="497" w:type="pct"/>
            <w:vMerge w:val="continue"/>
            <w:vAlign w:val="center"/>
          </w:tcPr>
          <w:p>
            <w:pPr>
              <w:spacing w:line="240" w:lineRule="auto"/>
              <w:jc w:val="center"/>
              <w:rPr>
                <w:rFonts w:cs="Times New Roman"/>
                <w:sz w:val="24"/>
              </w:rPr>
            </w:pPr>
          </w:p>
        </w:tc>
        <w:tc>
          <w:tcPr>
            <w:tcW w:w="1776" w:type="pct"/>
            <w:gridSpan w:val="2"/>
            <w:vAlign w:val="center"/>
          </w:tcPr>
          <w:p>
            <w:pPr>
              <w:spacing w:line="240" w:lineRule="auto"/>
              <w:jc w:val="center"/>
              <w:rPr>
                <w:rFonts w:cs="Times New Roman"/>
                <w:sz w:val="24"/>
              </w:rPr>
            </w:pPr>
            <w:r>
              <w:rPr>
                <w:rFonts w:cs="Times New Roman"/>
                <w:sz w:val="24"/>
              </w:rPr>
              <w:t>生态质量指数（新EI）</w:t>
            </w:r>
          </w:p>
        </w:tc>
        <w:tc>
          <w:tcPr>
            <w:tcW w:w="843" w:type="pct"/>
            <w:vAlign w:val="center"/>
          </w:tcPr>
          <w:p>
            <w:pPr>
              <w:spacing w:line="240" w:lineRule="auto"/>
              <w:jc w:val="center"/>
              <w:rPr>
                <w:rFonts w:cs="Times New Roman"/>
                <w:sz w:val="24"/>
              </w:rPr>
            </w:pPr>
            <w:r>
              <w:rPr>
                <w:rFonts w:cs="Times New Roman"/>
                <w:spacing w:val="-2"/>
                <w:sz w:val="24"/>
              </w:rPr>
              <w:t>68.64</w:t>
            </w:r>
          </w:p>
        </w:tc>
        <w:tc>
          <w:tcPr>
            <w:tcW w:w="928" w:type="pct"/>
            <w:vAlign w:val="center"/>
          </w:tcPr>
          <w:p>
            <w:pPr>
              <w:spacing w:line="240" w:lineRule="auto"/>
              <w:jc w:val="center"/>
              <w:rPr>
                <w:rFonts w:cs="Times New Roman"/>
                <w:sz w:val="24"/>
              </w:rPr>
            </w:pPr>
            <w:r>
              <w:rPr>
                <w:rFonts w:cs="Times New Roman"/>
                <w:sz w:val="24"/>
              </w:rPr>
              <w:t>保持稳定</w:t>
            </w:r>
          </w:p>
        </w:tc>
        <w:tc>
          <w:tcPr>
            <w:tcW w:w="605" w:type="pct"/>
            <w:gridSpan w:val="2"/>
            <w:vAlign w:val="center"/>
          </w:tcPr>
          <w:p>
            <w:pPr>
              <w:spacing w:line="240" w:lineRule="auto"/>
              <w:jc w:val="center"/>
              <w:rPr>
                <w:rFonts w:cs="Times New Roman"/>
                <w:sz w:val="24"/>
              </w:rPr>
            </w:pPr>
            <w:r>
              <w:rPr>
                <w:rFonts w:cs="Times New Roman"/>
                <w:sz w:val="24"/>
              </w:rPr>
              <w:t>预期性</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352" w:type="pct"/>
            <w:gridSpan w:val="2"/>
            <w:vAlign w:val="center"/>
          </w:tcPr>
          <w:p>
            <w:pPr>
              <w:spacing w:line="240" w:lineRule="auto"/>
              <w:jc w:val="center"/>
              <w:rPr>
                <w:rFonts w:cs="Times New Roman"/>
                <w:sz w:val="24"/>
              </w:rPr>
            </w:pPr>
            <w:r>
              <w:rPr>
                <w:rFonts w:cs="Times New Roman"/>
                <w:sz w:val="24"/>
              </w:rPr>
              <w:t>16</w:t>
            </w:r>
          </w:p>
        </w:tc>
        <w:tc>
          <w:tcPr>
            <w:tcW w:w="497" w:type="pct"/>
            <w:vMerge w:val="continue"/>
            <w:vAlign w:val="center"/>
          </w:tcPr>
          <w:p>
            <w:pPr>
              <w:spacing w:line="240" w:lineRule="auto"/>
              <w:jc w:val="center"/>
              <w:rPr>
                <w:rFonts w:cs="Times New Roman"/>
                <w:sz w:val="24"/>
              </w:rPr>
            </w:pPr>
          </w:p>
        </w:tc>
        <w:tc>
          <w:tcPr>
            <w:tcW w:w="1776" w:type="pct"/>
            <w:gridSpan w:val="2"/>
            <w:vAlign w:val="center"/>
          </w:tcPr>
          <w:p>
            <w:pPr>
              <w:spacing w:line="240" w:lineRule="auto"/>
              <w:jc w:val="center"/>
              <w:rPr>
                <w:rFonts w:cs="Times New Roman"/>
                <w:sz w:val="24"/>
              </w:rPr>
            </w:pPr>
            <w:r>
              <w:rPr>
                <w:rFonts w:cs="Times New Roman"/>
                <w:sz w:val="24"/>
              </w:rPr>
              <w:t>森林覆盖率（%）</w:t>
            </w:r>
          </w:p>
        </w:tc>
        <w:tc>
          <w:tcPr>
            <w:tcW w:w="843" w:type="pct"/>
            <w:vAlign w:val="center"/>
          </w:tcPr>
          <w:p>
            <w:pPr>
              <w:spacing w:line="240" w:lineRule="auto"/>
              <w:jc w:val="center"/>
              <w:rPr>
                <w:rFonts w:cs="Times New Roman"/>
                <w:sz w:val="24"/>
              </w:rPr>
            </w:pPr>
            <w:r>
              <w:rPr>
                <w:rFonts w:cs="Times New Roman"/>
                <w:spacing w:val="-4"/>
                <w:sz w:val="24"/>
              </w:rPr>
              <w:t>4.2</w:t>
            </w:r>
          </w:p>
        </w:tc>
        <w:tc>
          <w:tcPr>
            <w:tcW w:w="928" w:type="pct"/>
            <w:vAlign w:val="center"/>
          </w:tcPr>
          <w:p>
            <w:pPr>
              <w:spacing w:line="240" w:lineRule="auto"/>
              <w:jc w:val="center"/>
              <w:rPr>
                <w:rFonts w:cs="Times New Roman"/>
                <w:sz w:val="24"/>
              </w:rPr>
            </w:pPr>
            <w:r>
              <w:rPr>
                <w:rFonts w:hint="eastAsia" w:cs="Times New Roman"/>
                <w:sz w:val="24"/>
              </w:rPr>
              <w:t>达到呼伦贝尔市考核目标</w:t>
            </w:r>
          </w:p>
        </w:tc>
        <w:tc>
          <w:tcPr>
            <w:tcW w:w="605" w:type="pct"/>
            <w:gridSpan w:val="2"/>
            <w:vAlign w:val="center"/>
          </w:tcPr>
          <w:p>
            <w:pPr>
              <w:spacing w:line="240" w:lineRule="auto"/>
              <w:jc w:val="center"/>
              <w:rPr>
                <w:rFonts w:cs="Times New Roman"/>
                <w:sz w:val="24"/>
              </w:rPr>
            </w:pPr>
            <w:r>
              <w:rPr>
                <w:rFonts w:cs="Times New Roman"/>
                <w:sz w:val="24"/>
              </w:rPr>
              <w:t>约束性</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352" w:type="pct"/>
            <w:gridSpan w:val="2"/>
            <w:vAlign w:val="center"/>
          </w:tcPr>
          <w:p>
            <w:pPr>
              <w:spacing w:line="240" w:lineRule="auto"/>
              <w:jc w:val="center"/>
              <w:rPr>
                <w:rFonts w:cs="Times New Roman"/>
                <w:sz w:val="24"/>
              </w:rPr>
            </w:pPr>
            <w:r>
              <w:rPr>
                <w:rFonts w:cs="Times New Roman"/>
                <w:sz w:val="24"/>
              </w:rPr>
              <w:t>17</w:t>
            </w:r>
          </w:p>
        </w:tc>
        <w:tc>
          <w:tcPr>
            <w:tcW w:w="497" w:type="pct"/>
            <w:vMerge w:val="continue"/>
            <w:vAlign w:val="center"/>
          </w:tcPr>
          <w:p>
            <w:pPr>
              <w:spacing w:line="240" w:lineRule="auto"/>
              <w:jc w:val="center"/>
              <w:rPr>
                <w:rFonts w:cs="Times New Roman"/>
                <w:sz w:val="24"/>
              </w:rPr>
            </w:pPr>
          </w:p>
        </w:tc>
        <w:tc>
          <w:tcPr>
            <w:tcW w:w="1776" w:type="pct"/>
            <w:gridSpan w:val="2"/>
            <w:vAlign w:val="center"/>
          </w:tcPr>
          <w:p>
            <w:pPr>
              <w:spacing w:line="240" w:lineRule="auto"/>
              <w:jc w:val="center"/>
              <w:rPr>
                <w:rFonts w:cs="Times New Roman"/>
                <w:sz w:val="24"/>
              </w:rPr>
            </w:pPr>
            <w:r>
              <w:rPr>
                <w:rFonts w:cs="Times New Roman"/>
                <w:sz w:val="24"/>
              </w:rPr>
              <w:t>森林蓄积量（</w:t>
            </w:r>
            <w:r>
              <w:rPr>
                <w:rFonts w:hint="eastAsia" w:cs="Times New Roman"/>
                <w:sz w:val="24"/>
              </w:rPr>
              <w:t>万</w:t>
            </w:r>
            <w:r>
              <w:rPr>
                <w:rFonts w:cs="Times New Roman"/>
                <w:sz w:val="24"/>
              </w:rPr>
              <w:t>立方米）</w:t>
            </w:r>
          </w:p>
        </w:tc>
        <w:tc>
          <w:tcPr>
            <w:tcW w:w="843" w:type="pct"/>
            <w:vAlign w:val="center"/>
          </w:tcPr>
          <w:p>
            <w:pPr>
              <w:spacing w:line="240" w:lineRule="auto"/>
              <w:jc w:val="center"/>
              <w:rPr>
                <w:rFonts w:cs="Times New Roman"/>
                <w:sz w:val="24"/>
              </w:rPr>
            </w:pPr>
            <w:r>
              <w:rPr>
                <w:rFonts w:cs="Times New Roman"/>
                <w:spacing w:val="-6"/>
                <w:sz w:val="24"/>
              </w:rPr>
              <w:t>0.44</w:t>
            </w:r>
          </w:p>
        </w:tc>
        <w:tc>
          <w:tcPr>
            <w:tcW w:w="928" w:type="pct"/>
            <w:vAlign w:val="center"/>
          </w:tcPr>
          <w:p>
            <w:pPr>
              <w:spacing w:line="240" w:lineRule="auto"/>
              <w:jc w:val="center"/>
              <w:rPr>
                <w:rFonts w:cs="Times New Roman"/>
                <w:sz w:val="24"/>
              </w:rPr>
            </w:pPr>
            <w:r>
              <w:rPr>
                <w:rFonts w:hint="eastAsia" w:cs="Times New Roman"/>
                <w:sz w:val="24"/>
              </w:rPr>
              <w:t>达到呼伦贝尔市考核目标</w:t>
            </w:r>
          </w:p>
        </w:tc>
        <w:tc>
          <w:tcPr>
            <w:tcW w:w="605" w:type="pct"/>
            <w:gridSpan w:val="2"/>
            <w:vAlign w:val="center"/>
          </w:tcPr>
          <w:p>
            <w:pPr>
              <w:spacing w:line="240" w:lineRule="auto"/>
              <w:jc w:val="center"/>
              <w:rPr>
                <w:rFonts w:cs="Times New Roman"/>
                <w:sz w:val="24"/>
              </w:rPr>
            </w:pPr>
            <w:r>
              <w:rPr>
                <w:rFonts w:cs="Times New Roman"/>
                <w:sz w:val="24"/>
              </w:rPr>
              <w:t>预期性</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352" w:type="pct"/>
            <w:gridSpan w:val="2"/>
            <w:vAlign w:val="center"/>
          </w:tcPr>
          <w:p>
            <w:pPr>
              <w:spacing w:line="240" w:lineRule="auto"/>
              <w:jc w:val="center"/>
              <w:rPr>
                <w:rFonts w:cs="Times New Roman"/>
                <w:sz w:val="24"/>
              </w:rPr>
            </w:pPr>
            <w:r>
              <w:rPr>
                <w:rFonts w:cs="Times New Roman"/>
                <w:sz w:val="24"/>
              </w:rPr>
              <w:t>18</w:t>
            </w:r>
          </w:p>
        </w:tc>
        <w:tc>
          <w:tcPr>
            <w:tcW w:w="497" w:type="pct"/>
            <w:vMerge w:val="continue"/>
            <w:vAlign w:val="center"/>
          </w:tcPr>
          <w:p>
            <w:pPr>
              <w:spacing w:line="240" w:lineRule="auto"/>
              <w:jc w:val="center"/>
              <w:rPr>
                <w:rFonts w:cs="Times New Roman"/>
                <w:sz w:val="24"/>
              </w:rPr>
            </w:pPr>
          </w:p>
        </w:tc>
        <w:tc>
          <w:tcPr>
            <w:tcW w:w="1776" w:type="pct"/>
            <w:gridSpan w:val="2"/>
            <w:vAlign w:val="center"/>
          </w:tcPr>
          <w:p>
            <w:pPr>
              <w:spacing w:line="240" w:lineRule="auto"/>
              <w:jc w:val="center"/>
              <w:rPr>
                <w:rFonts w:cs="Times New Roman"/>
                <w:sz w:val="24"/>
              </w:rPr>
            </w:pPr>
            <w:r>
              <w:rPr>
                <w:rFonts w:cs="Times New Roman"/>
                <w:sz w:val="24"/>
              </w:rPr>
              <w:t>草原植被综合盖度（%）</w:t>
            </w:r>
          </w:p>
        </w:tc>
        <w:tc>
          <w:tcPr>
            <w:tcW w:w="843" w:type="pct"/>
            <w:vAlign w:val="center"/>
          </w:tcPr>
          <w:p>
            <w:pPr>
              <w:spacing w:line="240" w:lineRule="auto"/>
              <w:jc w:val="center"/>
              <w:rPr>
                <w:rFonts w:cs="Times New Roman"/>
                <w:sz w:val="24"/>
              </w:rPr>
            </w:pPr>
            <w:r>
              <w:rPr>
                <w:rFonts w:cs="Times New Roman"/>
                <w:spacing w:val="-3"/>
                <w:sz w:val="24"/>
              </w:rPr>
              <w:t>53</w:t>
            </w:r>
          </w:p>
        </w:tc>
        <w:tc>
          <w:tcPr>
            <w:tcW w:w="928" w:type="pct"/>
            <w:vAlign w:val="center"/>
          </w:tcPr>
          <w:p>
            <w:pPr>
              <w:spacing w:line="240" w:lineRule="auto"/>
              <w:jc w:val="center"/>
              <w:rPr>
                <w:rFonts w:cs="Times New Roman"/>
                <w:sz w:val="24"/>
              </w:rPr>
            </w:pPr>
            <w:r>
              <w:rPr>
                <w:rFonts w:cs="Times New Roman"/>
                <w:spacing w:val="-9"/>
                <w:sz w:val="24"/>
              </w:rPr>
              <w:t>23.5</w:t>
            </w:r>
          </w:p>
        </w:tc>
        <w:tc>
          <w:tcPr>
            <w:tcW w:w="605" w:type="pct"/>
            <w:gridSpan w:val="2"/>
            <w:vAlign w:val="center"/>
          </w:tcPr>
          <w:p>
            <w:pPr>
              <w:spacing w:line="240" w:lineRule="auto"/>
              <w:jc w:val="center"/>
              <w:rPr>
                <w:rFonts w:cs="Times New Roman"/>
                <w:sz w:val="24"/>
              </w:rPr>
            </w:pPr>
            <w:r>
              <w:rPr>
                <w:rFonts w:cs="Times New Roman"/>
                <w:sz w:val="24"/>
              </w:rPr>
              <w:t>约束性</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352" w:type="pct"/>
            <w:gridSpan w:val="2"/>
            <w:vAlign w:val="center"/>
          </w:tcPr>
          <w:p>
            <w:pPr>
              <w:spacing w:line="240" w:lineRule="auto"/>
              <w:jc w:val="center"/>
              <w:rPr>
                <w:rFonts w:cs="Times New Roman"/>
                <w:sz w:val="24"/>
              </w:rPr>
            </w:pPr>
            <w:r>
              <w:rPr>
                <w:rFonts w:cs="Times New Roman"/>
                <w:sz w:val="24"/>
              </w:rPr>
              <w:t>19</w:t>
            </w:r>
          </w:p>
        </w:tc>
        <w:tc>
          <w:tcPr>
            <w:tcW w:w="497" w:type="pct"/>
            <w:vMerge w:val="restart"/>
            <w:vAlign w:val="center"/>
          </w:tcPr>
          <w:p>
            <w:pPr>
              <w:spacing w:line="240" w:lineRule="auto"/>
              <w:jc w:val="center"/>
              <w:rPr>
                <w:rFonts w:cs="Times New Roman"/>
                <w:sz w:val="24"/>
              </w:rPr>
            </w:pPr>
            <w:r>
              <w:rPr>
                <w:rFonts w:cs="Times New Roman"/>
                <w:sz w:val="24"/>
              </w:rPr>
              <w:t>环境风险防范</w:t>
            </w:r>
          </w:p>
        </w:tc>
        <w:tc>
          <w:tcPr>
            <w:tcW w:w="506" w:type="pct"/>
            <w:vMerge w:val="restart"/>
            <w:vAlign w:val="center"/>
          </w:tcPr>
          <w:p>
            <w:pPr>
              <w:spacing w:line="240" w:lineRule="auto"/>
              <w:jc w:val="center"/>
              <w:rPr>
                <w:rFonts w:cs="Times New Roman"/>
                <w:sz w:val="24"/>
              </w:rPr>
            </w:pPr>
            <w:r>
              <w:rPr>
                <w:rFonts w:cs="Times New Roman"/>
                <w:sz w:val="24"/>
              </w:rPr>
              <w:t>土壤生态环境质量</w:t>
            </w:r>
          </w:p>
        </w:tc>
        <w:tc>
          <w:tcPr>
            <w:tcW w:w="1270" w:type="pct"/>
            <w:vAlign w:val="center"/>
          </w:tcPr>
          <w:p>
            <w:pPr>
              <w:spacing w:line="240" w:lineRule="auto"/>
              <w:jc w:val="center"/>
              <w:rPr>
                <w:rFonts w:cs="Times New Roman"/>
                <w:sz w:val="24"/>
              </w:rPr>
            </w:pPr>
            <w:r>
              <w:rPr>
                <w:rFonts w:cs="Times New Roman"/>
                <w:sz w:val="24"/>
              </w:rPr>
              <w:t>受污染耕地安全利用率（%）</w:t>
            </w:r>
          </w:p>
        </w:tc>
        <w:tc>
          <w:tcPr>
            <w:tcW w:w="843" w:type="pct"/>
            <w:vAlign w:val="center"/>
          </w:tcPr>
          <w:p>
            <w:pPr>
              <w:spacing w:line="240" w:lineRule="auto"/>
              <w:jc w:val="center"/>
              <w:rPr>
                <w:rFonts w:cs="Times New Roman"/>
                <w:sz w:val="24"/>
              </w:rPr>
            </w:pPr>
            <w:r>
              <w:rPr>
                <w:rFonts w:cs="Times New Roman"/>
                <w:sz w:val="24"/>
              </w:rPr>
              <w:t>--</w:t>
            </w:r>
          </w:p>
        </w:tc>
        <w:tc>
          <w:tcPr>
            <w:tcW w:w="928" w:type="pct"/>
            <w:vAlign w:val="center"/>
          </w:tcPr>
          <w:p>
            <w:pPr>
              <w:spacing w:line="240" w:lineRule="auto"/>
              <w:jc w:val="center"/>
              <w:rPr>
                <w:rFonts w:cs="Times New Roman"/>
                <w:sz w:val="24"/>
              </w:rPr>
            </w:pPr>
            <w:r>
              <w:rPr>
                <w:rFonts w:cs="Times New Roman"/>
                <w:spacing w:val="-9"/>
                <w:sz w:val="24"/>
              </w:rPr>
              <w:t>≥</w:t>
            </w:r>
            <w:r>
              <w:rPr>
                <w:rFonts w:cs="Times New Roman"/>
                <w:spacing w:val="-8"/>
                <w:sz w:val="24"/>
              </w:rPr>
              <w:t>98</w:t>
            </w:r>
          </w:p>
        </w:tc>
        <w:tc>
          <w:tcPr>
            <w:tcW w:w="605" w:type="pct"/>
            <w:gridSpan w:val="2"/>
            <w:vAlign w:val="center"/>
          </w:tcPr>
          <w:p>
            <w:pPr>
              <w:spacing w:line="240" w:lineRule="auto"/>
              <w:jc w:val="center"/>
              <w:rPr>
                <w:rFonts w:cs="Times New Roman"/>
                <w:sz w:val="24"/>
              </w:rPr>
            </w:pPr>
            <w:r>
              <w:rPr>
                <w:rFonts w:cs="Times New Roman"/>
                <w:sz w:val="24"/>
              </w:rPr>
              <w:t>预期性</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352" w:type="pct"/>
            <w:gridSpan w:val="2"/>
            <w:vAlign w:val="center"/>
          </w:tcPr>
          <w:p>
            <w:pPr>
              <w:spacing w:line="240" w:lineRule="auto"/>
              <w:jc w:val="center"/>
              <w:rPr>
                <w:rFonts w:cs="Times New Roman"/>
                <w:sz w:val="24"/>
              </w:rPr>
            </w:pPr>
            <w:r>
              <w:rPr>
                <w:rFonts w:cs="Times New Roman"/>
                <w:sz w:val="24"/>
              </w:rPr>
              <w:t>20</w:t>
            </w:r>
          </w:p>
        </w:tc>
        <w:tc>
          <w:tcPr>
            <w:tcW w:w="497" w:type="pct"/>
            <w:vMerge w:val="continue"/>
            <w:vAlign w:val="center"/>
          </w:tcPr>
          <w:p>
            <w:pPr>
              <w:spacing w:line="240" w:lineRule="auto"/>
              <w:jc w:val="center"/>
              <w:rPr>
                <w:rFonts w:cs="Times New Roman"/>
                <w:sz w:val="24"/>
              </w:rPr>
            </w:pPr>
          </w:p>
        </w:tc>
        <w:tc>
          <w:tcPr>
            <w:tcW w:w="506" w:type="pct"/>
            <w:vMerge w:val="continue"/>
            <w:vAlign w:val="center"/>
          </w:tcPr>
          <w:p>
            <w:pPr>
              <w:spacing w:line="240" w:lineRule="auto"/>
              <w:jc w:val="center"/>
              <w:rPr>
                <w:rFonts w:cs="Times New Roman"/>
                <w:sz w:val="24"/>
              </w:rPr>
            </w:pPr>
          </w:p>
        </w:tc>
        <w:tc>
          <w:tcPr>
            <w:tcW w:w="1270" w:type="pct"/>
            <w:vAlign w:val="center"/>
          </w:tcPr>
          <w:p>
            <w:pPr>
              <w:spacing w:line="240" w:lineRule="auto"/>
              <w:jc w:val="center"/>
              <w:rPr>
                <w:rFonts w:cs="Times New Roman"/>
                <w:sz w:val="24"/>
              </w:rPr>
            </w:pPr>
            <w:r>
              <w:rPr>
                <w:rFonts w:cs="Times New Roman"/>
                <w:sz w:val="24"/>
              </w:rPr>
              <w:t>污染地块安全利用率（%）</w:t>
            </w:r>
          </w:p>
        </w:tc>
        <w:tc>
          <w:tcPr>
            <w:tcW w:w="843" w:type="pct"/>
            <w:vAlign w:val="center"/>
          </w:tcPr>
          <w:p>
            <w:pPr>
              <w:spacing w:line="240" w:lineRule="auto"/>
              <w:jc w:val="center"/>
              <w:rPr>
                <w:rFonts w:cs="Times New Roman"/>
                <w:sz w:val="24"/>
              </w:rPr>
            </w:pPr>
            <w:r>
              <w:rPr>
                <w:rFonts w:cs="Times New Roman"/>
                <w:sz w:val="24"/>
              </w:rPr>
              <w:t>--</w:t>
            </w:r>
          </w:p>
        </w:tc>
        <w:tc>
          <w:tcPr>
            <w:tcW w:w="928" w:type="pct"/>
            <w:vAlign w:val="center"/>
          </w:tcPr>
          <w:p>
            <w:pPr>
              <w:spacing w:line="240" w:lineRule="auto"/>
              <w:jc w:val="center"/>
              <w:rPr>
                <w:rFonts w:cs="Times New Roman"/>
                <w:sz w:val="24"/>
              </w:rPr>
            </w:pPr>
            <w:r>
              <w:rPr>
                <w:rFonts w:cs="Times New Roman"/>
                <w:spacing w:val="-9"/>
                <w:sz w:val="24"/>
              </w:rPr>
              <w:t>≥</w:t>
            </w:r>
            <w:r>
              <w:rPr>
                <w:rFonts w:cs="Times New Roman"/>
                <w:spacing w:val="-8"/>
                <w:sz w:val="24"/>
              </w:rPr>
              <w:t>92</w:t>
            </w:r>
          </w:p>
        </w:tc>
        <w:tc>
          <w:tcPr>
            <w:tcW w:w="605" w:type="pct"/>
            <w:gridSpan w:val="2"/>
            <w:vAlign w:val="center"/>
          </w:tcPr>
          <w:p>
            <w:pPr>
              <w:spacing w:line="240" w:lineRule="auto"/>
              <w:jc w:val="center"/>
              <w:rPr>
                <w:rFonts w:cs="Times New Roman"/>
                <w:sz w:val="24"/>
              </w:rPr>
            </w:pPr>
            <w:r>
              <w:rPr>
                <w:rFonts w:cs="Times New Roman"/>
                <w:sz w:val="24"/>
              </w:rPr>
              <w:t>预期性</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gridAfter w:val="1"/>
          <w:wAfter w:w="8" w:type="pct"/>
        </w:trPr>
        <w:tc>
          <w:tcPr>
            <w:tcW w:w="352" w:type="pct"/>
            <w:gridSpan w:val="2"/>
            <w:vAlign w:val="center"/>
          </w:tcPr>
          <w:p>
            <w:pPr>
              <w:spacing w:line="240" w:lineRule="auto"/>
              <w:jc w:val="center"/>
              <w:rPr>
                <w:rFonts w:cs="Times New Roman"/>
                <w:sz w:val="24"/>
              </w:rPr>
            </w:pPr>
            <w:r>
              <w:rPr>
                <w:rFonts w:cs="Times New Roman"/>
                <w:sz w:val="24"/>
              </w:rPr>
              <w:t>21</w:t>
            </w:r>
          </w:p>
        </w:tc>
        <w:tc>
          <w:tcPr>
            <w:tcW w:w="497" w:type="pct"/>
            <w:vMerge w:val="continue"/>
            <w:vAlign w:val="center"/>
          </w:tcPr>
          <w:p>
            <w:pPr>
              <w:spacing w:line="240" w:lineRule="auto"/>
              <w:jc w:val="center"/>
              <w:rPr>
                <w:rFonts w:cs="Times New Roman"/>
                <w:sz w:val="24"/>
              </w:rPr>
            </w:pPr>
          </w:p>
        </w:tc>
        <w:tc>
          <w:tcPr>
            <w:tcW w:w="1776" w:type="pct"/>
            <w:gridSpan w:val="2"/>
            <w:vAlign w:val="center"/>
          </w:tcPr>
          <w:p>
            <w:pPr>
              <w:spacing w:line="240" w:lineRule="auto"/>
              <w:jc w:val="center"/>
              <w:rPr>
                <w:rFonts w:cs="Times New Roman"/>
                <w:sz w:val="24"/>
              </w:rPr>
            </w:pPr>
            <w:r>
              <w:rPr>
                <w:rFonts w:cs="Times New Roman"/>
                <w:sz w:val="24"/>
              </w:rPr>
              <w:t>地下水质量V类水体比例（%）</w:t>
            </w:r>
          </w:p>
        </w:tc>
        <w:tc>
          <w:tcPr>
            <w:tcW w:w="843" w:type="pct"/>
            <w:vAlign w:val="center"/>
          </w:tcPr>
          <w:p>
            <w:pPr>
              <w:spacing w:line="240" w:lineRule="auto"/>
              <w:jc w:val="center"/>
              <w:rPr>
                <w:rFonts w:cs="Times New Roman"/>
                <w:sz w:val="24"/>
              </w:rPr>
            </w:pPr>
            <w:r>
              <w:rPr>
                <w:rFonts w:cs="Times New Roman"/>
                <w:sz w:val="24"/>
              </w:rPr>
              <w:t>--</w:t>
            </w:r>
          </w:p>
        </w:tc>
        <w:tc>
          <w:tcPr>
            <w:tcW w:w="928" w:type="pct"/>
            <w:vAlign w:val="center"/>
          </w:tcPr>
          <w:p>
            <w:pPr>
              <w:spacing w:line="240" w:lineRule="auto"/>
              <w:jc w:val="center"/>
              <w:rPr>
                <w:rFonts w:cs="Times New Roman"/>
                <w:sz w:val="24"/>
              </w:rPr>
            </w:pPr>
            <w:r>
              <w:rPr>
                <w:rFonts w:cs="Times New Roman"/>
                <w:sz w:val="24"/>
              </w:rPr>
              <w:t>达到呼伦贝尔市考核目标</w:t>
            </w:r>
          </w:p>
        </w:tc>
        <w:tc>
          <w:tcPr>
            <w:tcW w:w="597" w:type="pct"/>
            <w:vAlign w:val="center"/>
          </w:tcPr>
          <w:p>
            <w:pPr>
              <w:spacing w:line="240" w:lineRule="auto"/>
              <w:jc w:val="center"/>
              <w:rPr>
                <w:rFonts w:cs="Times New Roman"/>
                <w:sz w:val="24"/>
              </w:rPr>
            </w:pPr>
            <w:r>
              <w:rPr>
                <w:rFonts w:cs="Times New Roman"/>
                <w:sz w:val="24"/>
              </w:rPr>
              <w:t>预期性</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gridAfter w:val="1"/>
          <w:wAfter w:w="8" w:type="pct"/>
        </w:trPr>
        <w:tc>
          <w:tcPr>
            <w:tcW w:w="352" w:type="pct"/>
            <w:gridSpan w:val="2"/>
            <w:vAlign w:val="center"/>
          </w:tcPr>
          <w:p>
            <w:pPr>
              <w:spacing w:line="240" w:lineRule="auto"/>
              <w:jc w:val="center"/>
              <w:rPr>
                <w:rFonts w:cs="Times New Roman"/>
                <w:sz w:val="24"/>
              </w:rPr>
            </w:pPr>
            <w:r>
              <w:rPr>
                <w:rFonts w:cs="Times New Roman"/>
                <w:sz w:val="24"/>
              </w:rPr>
              <w:t>22</w:t>
            </w:r>
          </w:p>
        </w:tc>
        <w:tc>
          <w:tcPr>
            <w:tcW w:w="497" w:type="pct"/>
            <w:vMerge w:val="continue"/>
            <w:vAlign w:val="center"/>
          </w:tcPr>
          <w:p>
            <w:pPr>
              <w:spacing w:line="240" w:lineRule="auto"/>
              <w:jc w:val="center"/>
              <w:rPr>
                <w:rFonts w:cs="Times New Roman"/>
                <w:sz w:val="24"/>
              </w:rPr>
            </w:pPr>
          </w:p>
        </w:tc>
        <w:tc>
          <w:tcPr>
            <w:tcW w:w="1776" w:type="pct"/>
            <w:gridSpan w:val="2"/>
            <w:vAlign w:val="center"/>
          </w:tcPr>
          <w:p>
            <w:pPr>
              <w:spacing w:line="240" w:lineRule="auto"/>
              <w:jc w:val="center"/>
              <w:rPr>
                <w:rFonts w:cs="Times New Roman"/>
                <w:sz w:val="24"/>
              </w:rPr>
            </w:pPr>
            <w:r>
              <w:rPr>
                <w:rFonts w:cs="Times New Roman"/>
                <w:sz w:val="24"/>
              </w:rPr>
              <w:t>放射源辐射事故发生率</w:t>
            </w:r>
          </w:p>
          <w:p>
            <w:pPr>
              <w:spacing w:line="240" w:lineRule="auto"/>
              <w:jc w:val="center"/>
              <w:rPr>
                <w:rFonts w:cs="Times New Roman"/>
                <w:sz w:val="24"/>
              </w:rPr>
            </w:pPr>
            <w:r>
              <w:rPr>
                <w:rFonts w:cs="Times New Roman"/>
                <w:sz w:val="24"/>
              </w:rPr>
              <w:t>（起/每万枚）</w:t>
            </w:r>
          </w:p>
        </w:tc>
        <w:tc>
          <w:tcPr>
            <w:tcW w:w="843" w:type="pct"/>
            <w:vAlign w:val="center"/>
          </w:tcPr>
          <w:p>
            <w:pPr>
              <w:spacing w:line="240" w:lineRule="auto"/>
              <w:jc w:val="center"/>
              <w:rPr>
                <w:rFonts w:cs="Times New Roman"/>
                <w:sz w:val="24"/>
              </w:rPr>
            </w:pPr>
            <w:r>
              <w:rPr>
                <w:rFonts w:cs="Times New Roman"/>
                <w:sz w:val="24"/>
              </w:rPr>
              <w:t>0</w:t>
            </w:r>
          </w:p>
        </w:tc>
        <w:tc>
          <w:tcPr>
            <w:tcW w:w="928" w:type="pct"/>
            <w:vAlign w:val="center"/>
          </w:tcPr>
          <w:p>
            <w:pPr>
              <w:spacing w:line="240" w:lineRule="auto"/>
              <w:jc w:val="center"/>
              <w:rPr>
                <w:rFonts w:cs="Times New Roman"/>
                <w:sz w:val="24"/>
              </w:rPr>
            </w:pPr>
            <w:r>
              <w:rPr>
                <w:rFonts w:cs="Times New Roman"/>
                <w:sz w:val="24"/>
              </w:rPr>
              <w:t>0</w:t>
            </w:r>
          </w:p>
        </w:tc>
        <w:tc>
          <w:tcPr>
            <w:tcW w:w="597" w:type="pct"/>
            <w:vAlign w:val="center"/>
          </w:tcPr>
          <w:p>
            <w:pPr>
              <w:spacing w:line="240" w:lineRule="auto"/>
              <w:jc w:val="center"/>
              <w:rPr>
                <w:rFonts w:cs="Times New Roman"/>
                <w:sz w:val="24"/>
              </w:rPr>
            </w:pPr>
            <w:r>
              <w:rPr>
                <w:rFonts w:cs="Times New Roman"/>
                <w:sz w:val="24"/>
              </w:rPr>
              <w:t>预期性</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gridAfter w:val="1"/>
          <w:wAfter w:w="8" w:type="pct"/>
        </w:trPr>
        <w:tc>
          <w:tcPr>
            <w:tcW w:w="4992" w:type="pct"/>
            <w:gridSpan w:val="8"/>
            <w:vAlign w:val="center"/>
          </w:tcPr>
          <w:p>
            <w:pPr>
              <w:spacing w:line="240" w:lineRule="auto"/>
              <w:rPr>
                <w:rFonts w:cs="Times New Roman"/>
                <w:sz w:val="24"/>
              </w:rPr>
            </w:pPr>
            <w:r>
              <w:rPr>
                <w:rFonts w:cs="Times New Roman"/>
                <w:sz w:val="24"/>
              </w:rPr>
              <w:t>注：1.“空气质量全年优良天数”评价是采用地级城市空气质量全年优良天数的平均天数。所采用数据为剔除境外草原、森林火灾及沙尘等因素导致的天气数据。</w:t>
            </w:r>
          </w:p>
          <w:p>
            <w:pPr>
              <w:spacing w:line="240" w:lineRule="auto"/>
              <w:rPr>
                <w:rFonts w:cs="Times New Roman"/>
                <w:sz w:val="24"/>
              </w:rPr>
            </w:pPr>
            <w:r>
              <w:rPr>
                <w:rFonts w:cs="Times New Roman"/>
                <w:sz w:val="24"/>
              </w:rPr>
              <w:t>2.“细颗粒物浓度”为年均浓度，采用简单算术平均数。所采用数据为剔除境外草原、森林火灾及沙尘等因素导致的天气数据。</w:t>
            </w:r>
          </w:p>
          <w:p>
            <w:pPr>
              <w:spacing w:line="240" w:lineRule="auto"/>
              <w:rPr>
                <w:rFonts w:cs="Times New Roman"/>
                <w:sz w:val="24"/>
              </w:rPr>
            </w:pPr>
            <w:r>
              <w:rPr>
                <w:rFonts w:cs="Times New Roman"/>
                <w:sz w:val="24"/>
              </w:rPr>
              <w:t>3</w:t>
            </w:r>
            <w:r>
              <w:rPr>
                <w:rFonts w:hint="eastAsia" w:cs="Times New Roman"/>
                <w:sz w:val="24"/>
              </w:rPr>
              <w:t>.</w:t>
            </w:r>
            <w:r>
              <w:rPr>
                <w:rFonts w:cs="Times New Roman"/>
                <w:sz w:val="24"/>
              </w:rPr>
              <w:t>全市地表水生态环境质量指标根据‘十四五’期间满洲里市1个国考断面计。</w:t>
            </w:r>
          </w:p>
          <w:p>
            <w:pPr>
              <w:spacing w:line="240" w:lineRule="auto"/>
              <w:rPr>
                <w:rFonts w:cs="Times New Roman"/>
                <w:sz w:val="24"/>
              </w:rPr>
            </w:pPr>
            <w:r>
              <w:rPr>
                <w:rFonts w:cs="Times New Roman"/>
                <w:sz w:val="24"/>
              </w:rPr>
              <w:t>4.“生态保护红线占国土空间面积的比例”按照上级确定生态红线保护比例执行。</w:t>
            </w:r>
          </w:p>
          <w:p>
            <w:pPr>
              <w:spacing w:line="240" w:lineRule="auto"/>
              <w:rPr>
                <w:rFonts w:cs="Times New Roman"/>
                <w:sz w:val="24"/>
              </w:rPr>
            </w:pPr>
            <w:r>
              <w:rPr>
                <w:rFonts w:cs="Times New Roman"/>
                <w:sz w:val="24"/>
              </w:rPr>
              <w:t>5.“--”代表为没有基数。</w:t>
            </w:r>
          </w:p>
        </w:tc>
      </w:tr>
      <w:bookmarkEnd w:id="7"/>
    </w:tbl>
    <w:p>
      <w:pPr>
        <w:ind w:firstLine="600" w:firstLineChars="200"/>
      </w:pPr>
    </w:p>
    <w:p>
      <w:pPr>
        <w:pStyle w:val="3"/>
        <w:spacing w:before="408" w:after="204"/>
      </w:pPr>
      <w:bookmarkStart w:id="8" w:name="_Toc123548274"/>
      <w:r>
        <w:rPr>
          <w:rFonts w:hint="eastAsia"/>
        </w:rPr>
        <w:t xml:space="preserve">第三章 </w:t>
      </w:r>
      <w:r>
        <w:t xml:space="preserve"> </w:t>
      </w:r>
      <w:r>
        <w:rPr>
          <w:rFonts w:hint="eastAsia"/>
        </w:rPr>
        <w:t>强化绿色源头防控，推动绿色低碳发展</w:t>
      </w:r>
      <w:bookmarkEnd w:id="8"/>
    </w:p>
    <w:p>
      <w:pPr>
        <w:pStyle w:val="4"/>
      </w:pPr>
      <w:bookmarkStart w:id="9" w:name="_Toc123548275"/>
      <w:r>
        <w:rPr>
          <w:rFonts w:hint="eastAsia"/>
        </w:rPr>
        <w:t xml:space="preserve">第一节 </w:t>
      </w:r>
      <w:r>
        <w:t xml:space="preserve"> </w:t>
      </w:r>
      <w:r>
        <w:rPr>
          <w:rFonts w:hint="eastAsia"/>
        </w:rPr>
        <w:t>建立国土空间开发新格局</w:t>
      </w:r>
      <w:bookmarkEnd w:id="9"/>
    </w:p>
    <w:p>
      <w:pPr>
        <w:ind w:firstLine="600" w:firstLineChars="200"/>
      </w:pPr>
      <w:r>
        <w:rPr>
          <w:rFonts w:hint="eastAsia"/>
        </w:rPr>
        <w:t>严格落实国家和自治区主体功能区战略，落实国土空间规划，将“三区三线”作为调整经济结构、规划产业发展、推进城镇化不可逾越的红线，坚持“一张蓝图干到底”，提高土地利用效率，提升产业和人口综合承载能力。根据资源环境承载能力和国土空间开发适宜性，锚定建成内蒙古东部区域中心城市的目标，按照“口岸驱动、产城融合”的思路，调节主城区和重点镇区发展规模，完善国土空间治理体系。坚持把发展重点放到保护生态环境、提供生态产品上，形成主体功能明显、优势互补、高质量发展的国土空间开发保护新格局；在东湖区新开河两岸、二子湖沿岸发展生态型农业，对优质蔬菜综合生产基地进行保护，对不适宜继续种植的耕地进行退耕还草还林；严格控制城镇开发边界防止城镇无序扩张，加大城镇生态系统保护修复力度，增强绿地生态功能，优化建成区绿地格局。</w:t>
      </w:r>
    </w:p>
    <w:p>
      <w:pPr>
        <w:pStyle w:val="4"/>
      </w:pPr>
      <w:bookmarkStart w:id="10" w:name="_Toc123548276"/>
      <w:r>
        <w:rPr>
          <w:rFonts w:hint="eastAsia"/>
        </w:rPr>
        <w:t xml:space="preserve">第二节 </w:t>
      </w:r>
      <w:r>
        <w:t xml:space="preserve"> </w:t>
      </w:r>
      <w:r>
        <w:rPr>
          <w:rFonts w:hint="eastAsia"/>
        </w:rPr>
        <w:t>大力发展绿色产业体系</w:t>
      </w:r>
      <w:bookmarkEnd w:id="10"/>
    </w:p>
    <w:p>
      <w:pPr>
        <w:ind w:firstLine="602" w:firstLineChars="200"/>
      </w:pPr>
      <w:r>
        <w:rPr>
          <w:rFonts w:hint="eastAsia"/>
          <w:b/>
          <w:bCs/>
        </w:rPr>
        <w:t>推动工业绿色低碳发展。</w:t>
      </w:r>
      <w:r>
        <w:rPr>
          <w:rFonts w:hint="eastAsia"/>
        </w:rPr>
        <w:t>加大重点行业和重要领域绿色低碳化改造力度，大力发展清洁生产，推行生产者责任延伸制度，全面推进绿色产业、绿色企业、绿色园区发展。严格控制高耗能高污染产业，严格绿色准入，加大落后产能淘汰力度，实施新一轮节能技术改造工程；推动绿色技术创新，加大绿色技术攻关力度，建立绿色技术转移、交易和产业化服务平台；促进环保产业向园区集聚、环保服务向城市集中、工业园区向生态园区转变。推进工业园区循环化改造。按照“减量化、再利用、资源化”原则，建立循环型工业、农业、服务业产业体系，促进生产过程耦合和多联产，支持发展固废资源化利用，稳步扩大活性炭、木质纤维素、生物质固化颗粒燃料产能；推广太阳能建筑一体化技术应用和公共建筑太阳能热水系统，鼓励企业使用绿色建材、再生材料。</w:t>
      </w:r>
    </w:p>
    <w:p>
      <w:pPr>
        <w:ind w:firstLine="602" w:firstLineChars="200"/>
      </w:pPr>
      <w:r>
        <w:rPr>
          <w:rFonts w:hint="eastAsia"/>
          <w:b/>
          <w:bCs/>
        </w:rPr>
        <w:t>深化全民绿色行动。</w:t>
      </w:r>
      <w:r>
        <w:rPr>
          <w:rFonts w:hint="eastAsia"/>
        </w:rPr>
        <w:t>开展节约型机关、绿色家庭、绿色学校、绿色社区、绿色出行、绿色商场、绿色建筑等创建行动，广泛宣传推广简约适度、绿色低碳、文明健康的生活理念和生活方式，落实绿色生活的相关政策和管理制度，推动绿色消费，形成崇尚绿色生活的社会氛围。开展塑料污染治理行动。禁止生产销售使用一次性不可降解塑料制品，加强农药包装废弃物和废旧农膜的回收、处理与综合利用。积极应对气候变化。实施以碳强度控制为主、碳排放总量控制为辅的制度，调整能源结构和运输结构，探索重点行业碳排放达峰路径。</w:t>
      </w:r>
    </w:p>
    <w:p>
      <w:pPr>
        <w:pStyle w:val="4"/>
      </w:pPr>
      <w:bookmarkStart w:id="11" w:name="_Toc123548277"/>
      <w:r>
        <w:rPr>
          <w:rFonts w:hint="eastAsia"/>
        </w:rPr>
        <w:t xml:space="preserve">第三节 </w:t>
      </w:r>
      <w:r>
        <w:t xml:space="preserve"> </w:t>
      </w:r>
      <w:r>
        <w:rPr>
          <w:rFonts w:hint="eastAsia"/>
        </w:rPr>
        <w:t>全面落实生态环境分区管控</w:t>
      </w:r>
      <w:bookmarkEnd w:id="11"/>
    </w:p>
    <w:p>
      <w:pPr>
        <w:ind w:firstLine="600" w:firstLineChars="200"/>
      </w:pPr>
      <w:r>
        <w:rPr>
          <w:rFonts w:hint="eastAsia"/>
        </w:rPr>
        <w:t>加快构建基于实施呼伦贝尔市“三线一单”（生态保护红线、环境质量底线、资源利用上线和生态环境准入清单）的生态环境分区管控。全市划定环境管控单元</w:t>
      </w:r>
      <w:r>
        <w:t>15</w:t>
      </w:r>
      <w:r>
        <w:rPr>
          <w:rFonts w:hint="eastAsia"/>
        </w:rPr>
        <w:t>个，包括优先保护单元、重点管控单元两类，实施分类管控。优先保护单元共</w:t>
      </w:r>
      <w:r>
        <w:t>5</w:t>
      </w:r>
      <w:r>
        <w:rPr>
          <w:rFonts w:hint="eastAsia"/>
        </w:rPr>
        <w:t>个，主要包括生态保护红线、一般生态空间、自然保护地、集中式饮用水水源保护区等生态功能重要区和生态环境敏感区。该区域以生态环境保护优先为原则，依法禁止或限制大规模、高强度的工业开发和城镇建设，确保生态环境功能不降低。重点管控单元共</w:t>
      </w:r>
      <w:r>
        <w:t>10</w:t>
      </w:r>
      <w:r>
        <w:rPr>
          <w:rFonts w:hint="eastAsia"/>
        </w:rPr>
        <w:t>个，主要包括工业园区、贸易区、保税区、城市、采矿用地以及生态需水补给区等开发强度高、污染排放量大、环境问题相对集中的区域。该区域应不断提升资源利用效率，有针对性地加强污染物排放控制和环境风险防控，改善生态环境质量，降低生态环境风险等。</w:t>
      </w:r>
    </w:p>
    <w:p>
      <w:pPr>
        <w:pStyle w:val="4"/>
      </w:pPr>
      <w:bookmarkStart w:id="12" w:name="_Toc123548278"/>
      <w:r>
        <w:rPr>
          <w:rFonts w:hint="eastAsia"/>
        </w:rPr>
        <w:t xml:space="preserve">第四节 </w:t>
      </w:r>
      <w:r>
        <w:t xml:space="preserve"> </w:t>
      </w:r>
      <w:r>
        <w:rPr>
          <w:rFonts w:hint="eastAsia"/>
        </w:rPr>
        <w:t>加快产业结构升级</w:t>
      </w:r>
      <w:bookmarkEnd w:id="12"/>
    </w:p>
    <w:p>
      <w:pPr>
        <w:ind w:firstLine="602" w:firstLineChars="200"/>
      </w:pPr>
      <w:r>
        <w:rPr>
          <w:rFonts w:hint="eastAsia"/>
          <w:b/>
          <w:bCs/>
        </w:rPr>
        <w:t>严格准入条件。</w:t>
      </w:r>
      <w:r>
        <w:rPr>
          <w:rFonts w:hint="eastAsia"/>
        </w:rPr>
        <w:t>以实现碳达峰碳中和为目标导向，严格执行碳达峰行动方案，坚决遏制高耗能产业盲目发展和低水平重复建设，从严控制存量高耗能企业新增用能，从严控制新建高耗能项目审批，合理安排新建成高耗能项目投产时序。提高新建项目节能环保标准，新建高耗能项目工艺和技术装备、能效水平、治理水平等达到国内先进水平。加大重点行业生产全过程管理，提高行业清洁生产能力。</w:t>
      </w:r>
    </w:p>
    <w:p>
      <w:pPr>
        <w:ind w:firstLine="602" w:firstLineChars="200"/>
      </w:pPr>
      <w:r>
        <w:rPr>
          <w:rFonts w:hint="eastAsia"/>
          <w:b/>
          <w:bCs/>
        </w:rPr>
        <w:t>调整产业结构。</w:t>
      </w:r>
      <w:r>
        <w:rPr>
          <w:rFonts w:hint="eastAsia"/>
        </w:rPr>
        <w:t>加大火电、烧结砖瓦等行业落后产能淘汰和过剩产能压减力度，支持煤炭、建材等传统产业企业加强技术创新、完善工艺流程，促进工业技改投资，推动传统产业行业深度治理和绿色低碳升级改造，实施减污降碳协同治理。巩固提升“散乱污”工业企业治理成效。</w:t>
      </w:r>
    </w:p>
    <w:p>
      <w:pPr>
        <w:ind w:firstLine="602" w:firstLineChars="200"/>
      </w:pPr>
      <w:r>
        <w:rPr>
          <w:rFonts w:hint="eastAsia"/>
          <w:b/>
          <w:bCs/>
        </w:rPr>
        <w:t>推进能源资源利用。</w:t>
      </w:r>
      <w:r>
        <w:rPr>
          <w:rFonts w:hint="eastAsia"/>
        </w:rPr>
        <w:t>加快新旧动能转换，培育打造战略性新兴产业和现代服务业，构建现代化绿色产业体系，形成生态环境质量改善的强大内生动力。提升行业资源能源利用效率，严格执行产品能效、水效、能耗限额、碳排放、污染物排放等标准，建立健全节能、循环经济体系。对重点行业深入推进强制性清洁生产审核，传统行业实施清洁化改造。</w:t>
      </w:r>
    </w:p>
    <w:p>
      <w:pPr>
        <w:pStyle w:val="4"/>
      </w:pPr>
      <w:bookmarkStart w:id="13" w:name="_Toc123548279"/>
      <w:r>
        <w:rPr>
          <w:rFonts w:hint="eastAsia"/>
        </w:rPr>
        <w:t xml:space="preserve">第五节 </w:t>
      </w:r>
      <w:r>
        <w:t xml:space="preserve"> </w:t>
      </w:r>
      <w:r>
        <w:rPr>
          <w:rFonts w:hint="eastAsia"/>
        </w:rPr>
        <w:t>大力发展清洁能源</w:t>
      </w:r>
      <w:bookmarkEnd w:id="13"/>
    </w:p>
    <w:p>
      <w:pPr>
        <w:ind w:firstLine="602" w:firstLineChars="200"/>
      </w:pPr>
      <w:r>
        <w:rPr>
          <w:rFonts w:hint="eastAsia"/>
          <w:b/>
          <w:bCs/>
        </w:rPr>
        <w:t>优化能源供给结构。</w:t>
      </w:r>
      <w:r>
        <w:rPr>
          <w:rFonts w:hint="eastAsia"/>
        </w:rPr>
        <w:t>调整优化能源结构和开发布局，主动融入蒙东新能源基地建设，大力推进光伏、风电等新能源开发利用，推动非化石能源成为能源消费增量的主体。促进煤炭产业转型发展，科学控制产能产量，淘汰落后产能，释放优质产能，在保煤的前提下，持续优化煤炭产能结构，严格控制煤炭开发强度。</w:t>
      </w:r>
    </w:p>
    <w:p>
      <w:pPr>
        <w:ind w:firstLine="602" w:firstLineChars="200"/>
      </w:pPr>
      <w:r>
        <w:rPr>
          <w:rFonts w:hint="eastAsia"/>
          <w:b/>
          <w:bCs/>
        </w:rPr>
        <w:t>加大能耗“双控”力度。</w:t>
      </w:r>
      <w:r>
        <w:rPr>
          <w:rFonts w:hint="eastAsia"/>
        </w:rPr>
        <w:t>严格控制能耗总量和能耗强度，坚持节能优先、量能而行，精细化管控能源消耗，全面推行用能预算管理和重点用能单位能耗在线监测，新建项目单位产品能耗必须达到国家标准。鼓励可再生能源消费，提高能源利用效率，推动产业结构和能源消费结构双优化，推进能源高效利用、梯级利用和能源资源综合利用，鼓励煤炭清洁化利用，重点对火电、化工、建材等高耗能行业重点用能企业实施改造，全面推进煤电机组综合节能改造。压紧压实属地责任、行业部门监管责任和企业主体责任，确保完成能耗“双控”目标任务。</w:t>
      </w:r>
    </w:p>
    <w:p>
      <w:pPr>
        <w:pStyle w:val="4"/>
      </w:pPr>
      <w:bookmarkStart w:id="14" w:name="_Toc123548280"/>
      <w:r>
        <w:rPr>
          <w:rFonts w:hint="eastAsia"/>
        </w:rPr>
        <w:t xml:space="preserve">第六节 </w:t>
      </w:r>
      <w:r>
        <w:t xml:space="preserve"> </w:t>
      </w:r>
      <w:r>
        <w:rPr>
          <w:rFonts w:hint="eastAsia"/>
        </w:rPr>
        <w:t>构建绿色交通体系</w:t>
      </w:r>
      <w:bookmarkEnd w:id="14"/>
    </w:p>
    <w:p>
      <w:pPr>
        <w:ind w:firstLine="600" w:firstLineChars="200"/>
      </w:pPr>
      <w:r>
        <w:rPr>
          <w:rFonts w:hint="eastAsia"/>
        </w:rPr>
        <w:t>加快推动实施“公转铁”货运增量要求，满足全市煤炭及其他货物铁路运输需求。加强城市综合交通体系管理，协同推进节能减污降碳。全面实施轻型车和重型车国六排放标准，实施非道路移动柴油机械第四阶段排放标准，基本消除未登记或冒黑烟工程机械。到2025年，着力发展绿色化公路新建项目，将绿色低碳新理念、新技术、新工艺、新材料融入交通基础设施的规划设计、施工建设、运营养护全过程，发展低碳交通。全市基本淘汰国三及以下柴油货车。采取路面联合执法检查、检测线年度检测等方式，加大对道路行驶柴油货车检查力度。推进柴油货车治超联合执法常态化、制度化，进一步加大对超限超载行为源头治理力度。加大城市客运新能源汽车推广力度，持续推进城市公交站亭改造和新能源公交车及出租车更新，鼓励城市建成区邮政、轻型物流等配送车辆中增加新能源车辆占比。邮政，轻型物流等配送车辆新能源比例预计2025年达到30%。到2025年，提高绿色出行比例，进一步提升中心城区等重点区域公共交通出行比重，力争实现更新公交车辆全部为新能源车辆，新能源公交车辆占比达到40%以上。现有公交总数198辆，其中48辆新能源公交车，预计到2025年另更新新能源公交车49辆。</w:t>
      </w:r>
    </w:p>
    <w:p>
      <w:pPr>
        <w:pStyle w:val="4"/>
      </w:pPr>
      <w:bookmarkStart w:id="15" w:name="_Toc123548281"/>
      <w:r>
        <w:rPr>
          <w:rFonts w:hint="eastAsia"/>
        </w:rPr>
        <w:t xml:space="preserve">第七节 </w:t>
      </w:r>
      <w:r>
        <w:t xml:space="preserve"> </w:t>
      </w:r>
      <w:r>
        <w:rPr>
          <w:rFonts w:hint="eastAsia"/>
        </w:rPr>
        <w:t>推行绿色低碳生活方式</w:t>
      </w:r>
      <w:bookmarkEnd w:id="15"/>
    </w:p>
    <w:p>
      <w:pPr>
        <w:ind w:firstLine="602" w:firstLineChars="200"/>
      </w:pPr>
      <w:r>
        <w:rPr>
          <w:rFonts w:hint="eastAsia"/>
          <w:b/>
          <w:bCs/>
        </w:rPr>
        <w:t>加强生态文明意识教育。</w:t>
      </w:r>
      <w:r>
        <w:rPr>
          <w:rFonts w:hint="eastAsia"/>
        </w:rPr>
        <w:t>加强生态环境宣传教育，加大习近平生态文明思想宣传力度，积极动员各类媒体，创新传播平台路径，讲好生态文明故事，进一步推进习近平生态文明思想深入人心。推进生态文明教育，深化生态文明教育基地建设。加大生态环境保护学科建设和高层次人才培养力度，促进生态环境教育事业蓬勃发展。强化舆论引导，全面提升全民生态环境意识和科学素质，为推动绿色发展营造良好的社会氛围</w:t>
      </w:r>
    </w:p>
    <w:p>
      <w:pPr>
        <w:ind w:firstLine="602" w:firstLineChars="200"/>
      </w:pPr>
      <w:r>
        <w:rPr>
          <w:rFonts w:hint="eastAsia"/>
          <w:b/>
          <w:bCs/>
        </w:rPr>
        <w:t>培育生态文明理念。</w:t>
      </w:r>
      <w:r>
        <w:rPr>
          <w:rFonts w:hint="eastAsia"/>
        </w:rPr>
        <w:t>大力宣传尊重自然、顺应自然、保护自然的生态文明理念，倡导简约适度、绿色低碳的生活方式，在全社会唱响生态文明建设主旋律。推动环保设施向公众开放。扎实推进新时代文明实践工作，推动群众性生态文明绿色行动深入开展。</w:t>
      </w:r>
    </w:p>
    <w:p>
      <w:pPr>
        <w:ind w:firstLine="602" w:firstLineChars="200"/>
      </w:pPr>
      <w:r>
        <w:rPr>
          <w:rFonts w:hint="eastAsia"/>
          <w:b/>
          <w:bCs/>
        </w:rPr>
        <w:t>推进全民绿色生活绿色消费。</w:t>
      </w:r>
      <w:r>
        <w:rPr>
          <w:rFonts w:hint="eastAsia"/>
        </w:rPr>
        <w:t>推行《公民生态环境行为规范（试行）》，积极倡导绿色出行、绿色消费、绿色餐饮、绿色快递、绿色旅游等，引导公众积极践行绿色生活方式。推进城市社区基础设施绿色化。推动节约型机关、绿色家庭、绿色学校、绿色社区、绿色建筑等创建活动，到2025年，绿色生活创建活动取得显著成效。</w:t>
      </w:r>
    </w:p>
    <w:p>
      <w:pPr>
        <w:ind w:firstLine="600" w:firstLineChars="200"/>
      </w:pPr>
    </w:p>
    <w:p>
      <w:pPr>
        <w:pStyle w:val="3"/>
        <w:spacing w:before="408" w:after="204"/>
      </w:pPr>
      <w:bookmarkStart w:id="16" w:name="_Toc123548282"/>
      <w:r>
        <w:rPr>
          <w:rFonts w:hint="eastAsia"/>
        </w:rPr>
        <w:t xml:space="preserve">第四章 </w:t>
      </w:r>
      <w:r>
        <w:t xml:space="preserve"> </w:t>
      </w:r>
      <w:r>
        <w:rPr>
          <w:rFonts w:hint="eastAsia"/>
        </w:rPr>
        <w:t>控制温室气体排放，积极应对气候变化</w:t>
      </w:r>
      <w:bookmarkEnd w:id="16"/>
    </w:p>
    <w:p>
      <w:pPr>
        <w:pStyle w:val="4"/>
      </w:pPr>
      <w:bookmarkStart w:id="17" w:name="_Toc123548283"/>
      <w:r>
        <w:rPr>
          <w:rFonts w:hint="eastAsia"/>
        </w:rPr>
        <w:t xml:space="preserve">第一节 </w:t>
      </w:r>
      <w:r>
        <w:t xml:space="preserve"> </w:t>
      </w:r>
      <w:r>
        <w:rPr>
          <w:rFonts w:hint="eastAsia"/>
        </w:rPr>
        <w:t>开展碳排放达峰行动</w:t>
      </w:r>
      <w:bookmarkEnd w:id="17"/>
    </w:p>
    <w:p>
      <w:pPr>
        <w:ind w:firstLine="602" w:firstLineChars="200"/>
      </w:pPr>
      <w:r>
        <w:rPr>
          <w:rFonts w:hint="eastAsia"/>
          <w:b/>
          <w:bCs/>
        </w:rPr>
        <w:t>制定二氧化碳排放达峰行动方案。</w:t>
      </w:r>
      <w:r>
        <w:rPr>
          <w:rFonts w:hint="eastAsia"/>
        </w:rPr>
        <w:t>在深入研究和综合研判满洲里市的发展水平、资源禀赋、战略定位、产业结构等因素的基础上，制定满洲里碳排放达峰行动计划，积极开展达峰行动，明确峰值目标和路线图。加快建立“1+N”政策体系，即碳达峰总体实施方案和各行业、各领域分别的政策措施，涉及能源、工业、交通运输等分领域分行业碳达峰实施方案。在“十四五”期间综合运用相关政策工具和手段措施推动实施，确保在2030年前全市实现二氧化碳排放达峰的战略目标。探索开展低碳园区、社区、近零碳排放示范工程创建工作。</w:t>
      </w:r>
    </w:p>
    <w:p>
      <w:pPr>
        <w:ind w:firstLine="602" w:firstLineChars="200"/>
      </w:pPr>
      <w:r>
        <w:rPr>
          <w:rFonts w:hint="eastAsia"/>
          <w:b/>
          <w:bCs/>
        </w:rPr>
        <w:t>推进重点行业二氧化碳排放达峰。</w:t>
      </w:r>
      <w:r>
        <w:rPr>
          <w:rFonts w:hint="eastAsia"/>
        </w:rPr>
        <w:t>重点控制煤电、化工等高碳排放行业二氧化碳排放，引导市内重点高碳排放企业开展二氧化碳排放达峰行动，鼓励高碳排放行业和重点企业制定二氧化碳达峰行动方案，降低煤炭消耗。严格控制高耗能项目准入，对已有项目按照先进的能效标准改造提升。组织实施建材、电力、化工等重点行业清洁生产水平提升工程，提高工业用能效率。持续淘汰落后产能、化解过剩产能，控制传统化工产业产能总规模。优化电力、化工、建材等传统行业，积极引导现有企业技术改造升级，强化资源综合利用、循环发展。控制农牧林业生产活动、商业和公共机构温室气体排放。加大对企业低碳技术创新的支持力度，鼓励企业采用《国家重点推广的低碳技术目录》进行升级改造。</w:t>
      </w:r>
    </w:p>
    <w:p>
      <w:pPr>
        <w:ind w:firstLine="602" w:firstLineChars="200"/>
      </w:pPr>
      <w:r>
        <w:rPr>
          <w:rFonts w:hint="eastAsia"/>
          <w:b/>
          <w:bCs/>
        </w:rPr>
        <w:t>大力发展低碳交通。</w:t>
      </w:r>
      <w:r>
        <w:rPr>
          <w:rFonts w:hint="eastAsia"/>
        </w:rPr>
        <w:t>推广使用高效、节能、环保的交通运输工具，大力推广节能和新能源汽车，加大新能源和清洁能源在城市公交车、出租车、网约车中的应用，加大交通行业节能低碳技术推广。逐步形成中运量公交、公交快车、公交主线、公交支线、社区巴士等舒适便捷的多层次公交系统。</w:t>
      </w:r>
    </w:p>
    <w:p>
      <w:pPr>
        <w:ind w:firstLine="602" w:firstLineChars="200"/>
      </w:pPr>
      <w:r>
        <w:rPr>
          <w:rFonts w:hint="eastAsia"/>
          <w:b/>
          <w:bCs/>
        </w:rPr>
        <w:t>加快发展绿色低碳建筑。</w:t>
      </w:r>
      <w:r>
        <w:rPr>
          <w:rFonts w:hint="eastAsia"/>
        </w:rPr>
        <w:t>提高建筑节能和绿色建筑发展水平，加快发展绿色低碳建筑。加快推进以公共建筑为核心的既有建筑绿色改造工作，促进节能空调、节能电梯以及可再生能源的使用。深入开展绿色建筑行动，新建建筑严格执行居住建筑节能标准和绿色建筑标准。推广装配式建筑，倡导发展现代木结构建筑，鼓励使用新型墙体材料。引导和推动高星级绿色建筑发展。到2025年，新建绿色建筑占新建建筑比重达到100%。努力争取供热源头的清洁化，积极利用热电联产集中供热、工业废热集中供热以及可再生能源供热。加大供热管网建设和改造力度，提高热量传输效率减少耗散。</w:t>
      </w:r>
    </w:p>
    <w:p>
      <w:pPr>
        <w:ind w:firstLine="602" w:firstLineChars="200"/>
      </w:pPr>
      <w:r>
        <w:rPr>
          <w:rFonts w:hint="eastAsia"/>
          <w:b/>
          <w:bCs/>
        </w:rPr>
        <w:t>控制非二氧化碳温室气体排放。</w:t>
      </w:r>
      <w:r>
        <w:rPr>
          <w:rFonts w:hint="eastAsia"/>
        </w:rPr>
        <w:t>开展废弃煤矿瓦斯治理和利用，严控关闭矿井瓦斯逸散。持续推进低碳排放选种技术，改进耕作技术，推行土壤改良措施。加强标准化规模种植养殖，控制农田和畜禽养殖甲烷和氧化亚氮排放。</w:t>
      </w:r>
    </w:p>
    <w:p>
      <w:pPr>
        <w:pStyle w:val="4"/>
      </w:pPr>
      <w:bookmarkStart w:id="18" w:name="_Toc123548284"/>
      <w:r>
        <w:rPr>
          <w:rFonts w:hint="eastAsia"/>
        </w:rPr>
        <w:t xml:space="preserve">第二节 </w:t>
      </w:r>
      <w:r>
        <w:t xml:space="preserve"> </w:t>
      </w:r>
      <w:r>
        <w:rPr>
          <w:rFonts w:hint="eastAsia"/>
        </w:rPr>
        <w:t>积极适应气候变化</w:t>
      </w:r>
      <w:bookmarkEnd w:id="18"/>
    </w:p>
    <w:p>
      <w:pPr>
        <w:ind w:firstLine="602" w:firstLineChars="200"/>
      </w:pPr>
      <w:r>
        <w:rPr>
          <w:rFonts w:hint="eastAsia"/>
          <w:b/>
          <w:bCs/>
        </w:rPr>
        <w:t>提升适应气候变化能力。</w:t>
      </w:r>
      <w:r>
        <w:rPr>
          <w:rFonts w:hint="eastAsia"/>
        </w:rPr>
        <w:t>不断提高农业、林业、草原、水资源、基础设施及城市、生态脆弱区的适应气候变化能力。合理布局城市空间，提高市政公用基础设施、交通运输设施、电力基础设施韧性。推动种植业、畜牧业适应气候变化。提升自然生态系统适应能力，重点在森林草原、河流湖泊和生态脆弱区。强化普及公众适应气候变化健康保护知识和极端事件应急防护技能，提高脆弱人群风险防护能力。开展自然灾害综合风险普查，加强自然灾害监测预报预警，提高综合防灾减灾救灾能力。</w:t>
      </w:r>
    </w:p>
    <w:p>
      <w:pPr>
        <w:ind w:firstLine="602" w:firstLineChars="200"/>
      </w:pPr>
      <w:r>
        <w:rPr>
          <w:rFonts w:hint="eastAsia"/>
          <w:b/>
          <w:bCs/>
        </w:rPr>
        <w:t>增加生态系统碳汇储量。</w:t>
      </w:r>
      <w:r>
        <w:rPr>
          <w:rFonts w:hint="eastAsia"/>
        </w:rPr>
        <w:t>加强生态保护与修复，提高生态系统碳固定服务功能。增强森林碳汇、草原碳汇、湿地碳汇能力，增加农田固碳能力。增加森林面积，提升森林质量，强力推进造林绿化步伐，积极推动国家森林城市建设。统筹协调草原保护开发，大力推广绿色矿业发展示范区建设，封禁保护草原严格区、限制利用草原一般控制区，推进美丽草原建设。着力加强二卡国家湿地公园、霍勒金布拉格国家湿地公园等湿地公园的湿地保护与生态修复，实施湿地植被保护与重建，修复和畅通生态廊道，维护生物多样性。完善和修复湿地基础设施，增强气象服务功能。实施耕地质量保护与提升工程，大力建设高标准农田项目，推广集成农艺节水技术、水肥一体化技术。推广增施有机肥。</w:t>
      </w:r>
    </w:p>
    <w:p>
      <w:pPr>
        <w:pStyle w:val="4"/>
      </w:pPr>
      <w:bookmarkStart w:id="19" w:name="_Toc123548285"/>
      <w:r>
        <w:rPr>
          <w:rFonts w:hint="eastAsia"/>
        </w:rPr>
        <w:t xml:space="preserve">第三节 </w:t>
      </w:r>
      <w:r>
        <w:t xml:space="preserve"> </w:t>
      </w:r>
      <w:r>
        <w:rPr>
          <w:rFonts w:hint="eastAsia"/>
        </w:rPr>
        <w:t>加强应对气候变化管理</w:t>
      </w:r>
      <w:bookmarkEnd w:id="19"/>
    </w:p>
    <w:p>
      <w:pPr>
        <w:ind w:firstLine="602" w:firstLineChars="200"/>
      </w:pPr>
      <w:r>
        <w:rPr>
          <w:rFonts w:hint="eastAsia"/>
          <w:b/>
          <w:bCs/>
        </w:rPr>
        <w:t>加强二氧化碳交易市场建设。</w:t>
      </w:r>
      <w:r>
        <w:rPr>
          <w:rFonts w:hint="eastAsia"/>
        </w:rPr>
        <w:t>推动企业完善碳排放管理，做好碳排放、碳交易及碳资产管理，推动企业主动适应、积极参与全国碳交易，提高企业绿色低碳竞争力。加强温室气体排放核算工作，切实抓好重点企业碳排放质量控制计划制定工作，督促企业按时完成核算报告报送与质量控制计划制定、更新工作，积极稳妥推进满洲里市企业参与全国碳排放权交易。开展温室气体排放信息披露，鼓励企业主动公布温室气体排放信息和控排行动。</w:t>
      </w:r>
    </w:p>
    <w:p>
      <w:pPr>
        <w:ind w:firstLine="602" w:firstLineChars="200"/>
      </w:pPr>
      <w:r>
        <w:rPr>
          <w:rFonts w:hint="eastAsia"/>
          <w:b/>
          <w:bCs/>
        </w:rPr>
        <w:t>推动实现减污降碳协同控制。</w:t>
      </w:r>
      <w:r>
        <w:rPr>
          <w:rFonts w:hint="eastAsia"/>
        </w:rPr>
        <w:t>探索温室气体排放与污染防治监管体系的有效衔接路径，强化治理目标一致性和治理体系协同性。加强全过程监管，积极推动排放单位监管、排污许可制度、减排措施融合，将碳排放重点企业纳入污染源日常监管。推进碳排放报告、监测、核查制度与排污许可制度融合，推进企事业单位污染物和温室气体排放相关数据的统一采集、相互补充。按照国家和自治区安排部署，探索规划环评中开展碳排放环境影响评价。通过规划环评、项目环评，推动区域、行业和企业落实煤炭等量减量代替、温室气体排放控制等政策要求。</w:t>
      </w:r>
    </w:p>
    <w:p>
      <w:pPr>
        <w:ind w:firstLine="602" w:firstLineChars="200"/>
      </w:pPr>
      <w:r>
        <w:rPr>
          <w:rFonts w:hint="eastAsia"/>
          <w:b/>
          <w:bCs/>
        </w:rPr>
        <w:t>推进应对气候变化制度融合。</w:t>
      </w:r>
      <w:r>
        <w:rPr>
          <w:rFonts w:hint="eastAsia"/>
        </w:rPr>
        <w:t>强化高耗能高碳排放项目环境影响评价审批管理，推动将碳排放纳入环境影响评价，探索实行重大项目碳排放管理。推进企事业单位污染物和温室气体排放相关数据统一采集、相互补充、交叉校核。推动将应对气候变化相关工作存在的突出问题，落实地方党委政府减碳降耗责任。</w:t>
      </w:r>
    </w:p>
    <w:p>
      <w:pPr>
        <w:pStyle w:val="3"/>
        <w:spacing w:before="408" w:after="204"/>
      </w:pPr>
      <w:bookmarkStart w:id="20" w:name="_Toc123548286"/>
      <w:r>
        <w:rPr>
          <w:rFonts w:hint="eastAsia"/>
        </w:rPr>
        <w:t xml:space="preserve">第五章 </w:t>
      </w:r>
      <w:r>
        <w:t xml:space="preserve"> </w:t>
      </w:r>
      <w:r>
        <w:rPr>
          <w:rFonts w:hint="eastAsia"/>
        </w:rPr>
        <w:t>加强协同控制，持续改善大气环境</w:t>
      </w:r>
      <w:bookmarkEnd w:id="20"/>
    </w:p>
    <w:p>
      <w:pPr>
        <w:pStyle w:val="4"/>
      </w:pPr>
      <w:bookmarkStart w:id="21" w:name="_Toc123548287"/>
      <w:r>
        <w:rPr>
          <w:rFonts w:hint="eastAsia"/>
        </w:rPr>
        <w:t xml:space="preserve">第一节 </w:t>
      </w:r>
      <w:r>
        <w:t xml:space="preserve"> </w:t>
      </w:r>
      <w:r>
        <w:rPr>
          <w:rFonts w:hint="eastAsia"/>
        </w:rPr>
        <w:t>开展多污染物协同控制</w:t>
      </w:r>
      <w:bookmarkEnd w:id="21"/>
    </w:p>
    <w:p>
      <w:pPr>
        <w:ind w:firstLine="602" w:firstLineChars="200"/>
      </w:pPr>
      <w:r>
        <w:rPr>
          <w:rFonts w:hint="eastAsia"/>
          <w:b/>
          <w:bCs/>
        </w:rPr>
        <w:t>深入开展重点行业挥发性有机物治理。</w:t>
      </w:r>
      <w:r>
        <w:rPr>
          <w:rFonts w:hint="eastAsia"/>
        </w:rPr>
        <w:t>推进涂装、包装印刷、油品储运销等行业开展挥发性有机物综合治理，加快实施低挥发性有机物含量原辅材料替代，</w:t>
      </w:r>
      <w:r>
        <w:rPr>
          <w:bCs/>
          <w:szCs w:val="30"/>
        </w:rPr>
        <w:t>开展</w:t>
      </w:r>
      <w:r>
        <w:rPr>
          <w:rFonts w:hint="eastAsia"/>
          <w:bCs/>
          <w:szCs w:val="30"/>
        </w:rPr>
        <w:t>机动车、</w:t>
      </w:r>
      <w:r>
        <w:rPr>
          <w:bCs/>
          <w:szCs w:val="30"/>
        </w:rPr>
        <w:t>油品、</w:t>
      </w:r>
      <w:r>
        <w:rPr>
          <w:rFonts w:hint="eastAsia"/>
          <w:bCs/>
          <w:szCs w:val="30"/>
        </w:rPr>
        <w:t>储运</w:t>
      </w:r>
      <w:r>
        <w:rPr>
          <w:bCs/>
          <w:szCs w:val="30"/>
        </w:rPr>
        <w:t>等</w:t>
      </w:r>
      <w:r>
        <w:rPr>
          <w:rFonts w:hint="eastAsia"/>
          <w:bCs/>
          <w:szCs w:val="30"/>
        </w:rPr>
        <w:t>交通源</w:t>
      </w:r>
      <w:r>
        <w:rPr>
          <w:bCs/>
          <w:szCs w:val="30"/>
        </w:rPr>
        <w:t>VOCs</w:t>
      </w:r>
      <w:r>
        <w:rPr>
          <w:rFonts w:hint="eastAsia"/>
          <w:bCs/>
          <w:szCs w:val="30"/>
        </w:rPr>
        <w:t>污染整治</w:t>
      </w:r>
      <w:r>
        <w:rPr>
          <w:bCs/>
          <w:szCs w:val="30"/>
        </w:rPr>
        <w:t>，</w:t>
      </w:r>
      <w:r>
        <w:rPr>
          <w:rFonts w:hint="eastAsia"/>
          <w:bCs/>
          <w:szCs w:val="30"/>
        </w:rPr>
        <w:t>强化</w:t>
      </w:r>
      <w:r>
        <w:rPr>
          <w:bCs/>
          <w:szCs w:val="30"/>
        </w:rPr>
        <w:t>餐饮</w:t>
      </w:r>
      <w:r>
        <w:rPr>
          <w:rFonts w:hint="eastAsia"/>
          <w:bCs/>
          <w:szCs w:val="30"/>
        </w:rPr>
        <w:t>、</w:t>
      </w:r>
      <w:r>
        <w:rPr>
          <w:bCs/>
          <w:szCs w:val="30"/>
        </w:rPr>
        <w:t>汽修、干洗等生活源VOCs污染治理</w:t>
      </w:r>
      <w:r>
        <w:rPr>
          <w:rFonts w:hint="eastAsia"/>
          <w:bCs/>
          <w:szCs w:val="30"/>
        </w:rPr>
        <w:t>，</w:t>
      </w:r>
      <w:r>
        <w:rPr>
          <w:rFonts w:hint="eastAsia"/>
        </w:rPr>
        <w:t>推进涉挥发性有机物产业集群整治提升。实施VOCs排放总量控制。到2025年，挥发性有机物重点工程减排量达到呼伦贝尔市指标要求。</w:t>
      </w:r>
    </w:p>
    <w:p>
      <w:pPr>
        <w:ind w:firstLine="602" w:firstLineChars="200"/>
      </w:pPr>
      <w:r>
        <w:rPr>
          <w:rFonts w:hint="eastAsia"/>
          <w:b/>
          <w:bCs/>
        </w:rPr>
        <w:t>协同打好臭氧污染治理攻坚战。</w:t>
      </w:r>
      <w:r>
        <w:rPr>
          <w:rFonts w:hint="eastAsia"/>
        </w:rPr>
        <w:t>加大锅炉、移动源氮氧化物减排力度。实施含氢氯氟烃（HCFCs）淘汰和替代，将氢氟碳化物（HFCs）生产和消费量冻结在基线水平，继续推动三氟甲烷（HFC-23）的销毁。到2025年，氮氧化物重点工程减排量达到呼伦贝尔市指标要求，臭氧浓度增长趋势得到有效遏制。</w:t>
      </w:r>
    </w:p>
    <w:p>
      <w:pPr>
        <w:ind w:firstLine="602" w:firstLineChars="200"/>
      </w:pPr>
      <w:r>
        <w:rPr>
          <w:rFonts w:hint="eastAsia"/>
          <w:b/>
          <w:bCs/>
        </w:rPr>
        <w:t>加大有毒有害及恶臭污染防控。</w:t>
      </w:r>
      <w:r>
        <w:rPr>
          <w:rFonts w:hint="eastAsia"/>
        </w:rPr>
        <w:t>开展NH</w:t>
      </w:r>
      <w:r>
        <w:rPr>
          <w:rFonts w:hint="eastAsia"/>
          <w:vertAlign w:val="subscript"/>
        </w:rPr>
        <w:t>3</w:t>
      </w:r>
      <w:r>
        <w:rPr>
          <w:rFonts w:hint="eastAsia"/>
        </w:rPr>
        <w:t>排放控制，推进规模化以上养殖业、种植业大气氨减排，加强源头防控，优化化肥、饲料结构，结合国家认可的最新技术逐步推进重点行业大气氨污染防治技术工程建设，强化烟气脱硝氨逃逸防控。加强恶臭深度治理，鼓励开展恶臭投诉重点企业和园区监测。加强生物质锅炉燃料品质及排放管控，禁止使用劣质燃料或掺烧垃圾、工业固废等，对污染物排放不能稳定达到锅炉排放标准的生物质锅炉进行整改或淘汰。</w:t>
      </w:r>
    </w:p>
    <w:p>
      <w:pPr>
        <w:pStyle w:val="4"/>
      </w:pPr>
      <w:bookmarkStart w:id="22" w:name="_Toc123548288"/>
      <w:r>
        <w:rPr>
          <w:rFonts w:hint="eastAsia"/>
        </w:rPr>
        <w:t xml:space="preserve">第二节 </w:t>
      </w:r>
      <w:r>
        <w:t xml:space="preserve"> </w:t>
      </w:r>
      <w:r>
        <w:rPr>
          <w:rFonts w:hint="eastAsia"/>
        </w:rPr>
        <w:t>持续推进重点污染源治理</w:t>
      </w:r>
      <w:bookmarkEnd w:id="22"/>
    </w:p>
    <w:p>
      <w:pPr>
        <w:ind w:firstLine="602" w:firstLineChars="200"/>
      </w:pPr>
      <w:r>
        <w:rPr>
          <w:rFonts w:hint="eastAsia"/>
          <w:b/>
          <w:bCs/>
        </w:rPr>
        <w:t>推进重点行业深度治理。</w:t>
      </w:r>
      <w:r>
        <w:rPr>
          <w:rFonts w:hint="eastAsia"/>
        </w:rPr>
        <w:t>实施工业炉窑提标治理，对涉气环保违法违规建设项目进行整改清理，加快淘汰热效率低下、治理设施工艺落后的工业炉窑。禁止新建燃料类煤气发生炉，现有企业分散式煤气发生炉全部淘汰。重点涉气排放企业逐步取消烟气旁路，因安全生产无法取消的，安装在线监控系统。</w:t>
      </w:r>
    </w:p>
    <w:p>
      <w:pPr>
        <w:ind w:firstLine="602" w:firstLineChars="200"/>
      </w:pPr>
      <w:r>
        <w:rPr>
          <w:rFonts w:hint="eastAsia"/>
          <w:b/>
          <w:bCs/>
        </w:rPr>
        <w:t>持续开展清洁取暖改造。</w:t>
      </w:r>
      <w:r>
        <w:rPr>
          <w:rFonts w:hint="eastAsia"/>
        </w:rPr>
        <w:t>持续推进清洁取暖改造，科学优化热源布局，加快推进高质量集中供热和清洁能源替换，实施达赉湖热电公司至满洲里市长距离供热项目，实施小散燃煤热源替代，鼓励采取太阳能+风能多能互补清洁取暖，推进燃煤热源清洁化改造。对已完成清洁取暖改造的依法划定为高污染燃料禁燃区，并制定实施相关配套政策措施，全市城镇清洁取暖率逐年提升。</w:t>
      </w:r>
    </w:p>
    <w:p>
      <w:pPr>
        <w:ind w:firstLine="602" w:firstLineChars="200"/>
      </w:pPr>
      <w:r>
        <w:rPr>
          <w:rFonts w:hint="eastAsia"/>
          <w:b/>
          <w:bCs/>
        </w:rPr>
        <w:t>推进燃煤锅炉污染治理。</w:t>
      </w:r>
      <w:r>
        <w:rPr>
          <w:rFonts w:hint="eastAsia"/>
        </w:rPr>
        <w:t>加大燃煤小锅炉淘汰力度，持续开展供热燃煤锅炉排查，巩固“十三五”期间建成区内10蒸吨/小时燃煤锅炉拆改工作成果。开展重点工业企业和产业园区20蒸吨以上燃煤锅炉达标排放整治。全市新建和具备改造条件的65蒸吨/小时及以上燃煤锅炉基本完成超低排放改造。加快推进燃气锅炉低氮改造。持续强化生物质成型燃料锅炉管控工作。</w:t>
      </w:r>
    </w:p>
    <w:p>
      <w:pPr>
        <w:ind w:firstLine="602" w:firstLineChars="200"/>
      </w:pPr>
      <w:r>
        <w:rPr>
          <w:rFonts w:hint="eastAsia"/>
          <w:b/>
          <w:bCs/>
        </w:rPr>
        <w:t>推进交通运输污染全面治理。</w:t>
      </w:r>
      <w:r>
        <w:rPr>
          <w:rFonts w:hint="eastAsia"/>
        </w:rPr>
        <w:t>积极推进机动车和非道路移动机械排气污染防治，综合采取车辆注销报废、排放检验、尾气提标治理等措施，继续推进老旧车辆淘汰更新。加大非道路移动机械等高污染车辆治理力度。开展新生产机动车、发动机、非道路移动机械监督检查，基本消除未登记或冒黑烟工程机械。加快推进机动车遥感监测网络和监测平台建设，逐步实现超标排放车辆精细化监管、智能化处罚，完善机动车排放检测与强制维护制度（I/M制度）。推进油品持续升级，禁止以化工原料名义出售调和油组分，禁止以化工原料勾兑调和油，严禁运输企业和工矿企业储存、使用非标油，以物流基地、货运车辆停车场和休息区、油品运输车、施工工地等为重点，持续集中打击和清理取缔黑加油站、流动加油车。</w:t>
      </w:r>
    </w:p>
    <w:p>
      <w:pPr>
        <w:ind w:firstLine="602" w:firstLineChars="200"/>
      </w:pPr>
      <w:r>
        <w:rPr>
          <w:rFonts w:hint="eastAsia"/>
          <w:b/>
          <w:bCs/>
        </w:rPr>
        <w:t>推进低空扬尘污染综合防治。</w:t>
      </w:r>
      <w:r>
        <w:rPr>
          <w:rFonts w:hint="eastAsia"/>
        </w:rPr>
        <w:t>建立施工工地管理清单和扬尘控制责任制度，做到工地周边围挡、物料堆放覆盖、土方开挖湿法作业、路面硬化、出入车辆清洗、渣土车辆密闭运输“六个百分之百”。强化城区道路扬尘管控，规范道路清扫保洁作业规程，提高春季清扫频次。加强城市裸露地面、堆场、料场规范化整治，确保扬尘污染防治措施落实到位。加快推进绿色矿山建设，加大露天矿山综合整治力度，强化矿产开采、储存、装卸、运输过程污染防治和减尘抑尘，到2025年底前全部达到绿色矿山标准。全面推进秸秆及农林废弃物资源利用，从源头控制秸秆焚烧，强化各级政府的主体责任，以网格化监管方式，严控农作物秸秆及农林废弃物露天焚烧。</w:t>
      </w:r>
    </w:p>
    <w:p>
      <w:pPr>
        <w:pStyle w:val="4"/>
      </w:pPr>
      <w:bookmarkStart w:id="23" w:name="_Toc123548289"/>
      <w:r>
        <w:rPr>
          <w:rFonts w:hint="eastAsia"/>
        </w:rPr>
        <w:t xml:space="preserve">第三节 </w:t>
      </w:r>
      <w:r>
        <w:t xml:space="preserve"> </w:t>
      </w:r>
      <w:r>
        <w:rPr>
          <w:rFonts w:hint="eastAsia"/>
        </w:rPr>
        <w:t>加强重污染天气应急响应</w:t>
      </w:r>
      <w:bookmarkEnd w:id="23"/>
    </w:p>
    <w:p>
      <w:pPr>
        <w:ind w:firstLine="600" w:firstLineChars="200"/>
      </w:pPr>
      <w:r>
        <w:rPr>
          <w:rFonts w:hint="eastAsia"/>
        </w:rPr>
        <w:t>结合涉气企业治理水平，实行差异化管控，突出精准减排，实现减排全覆盖，制定“一城一案”、各企业制定“一厂一策”，实施清单化管理，完善应急减排信息公开和公众监督渠道。加强预案管理，及时修编重污染天气应急预案，科学制定针对性减排措施，提高重污染天气应对的有效性。</w:t>
      </w:r>
    </w:p>
    <w:p>
      <w:pPr>
        <w:pStyle w:val="4"/>
      </w:pPr>
      <w:bookmarkStart w:id="24" w:name="_Toc123548290"/>
      <w:r>
        <w:rPr>
          <w:rFonts w:hint="eastAsia"/>
        </w:rPr>
        <w:t xml:space="preserve">第四节 </w:t>
      </w:r>
      <w:r>
        <w:t xml:space="preserve"> </w:t>
      </w:r>
      <w:r>
        <w:rPr>
          <w:rFonts w:hint="eastAsia"/>
        </w:rPr>
        <w:t>强化声环境质量管理</w:t>
      </w:r>
      <w:bookmarkEnd w:id="24"/>
    </w:p>
    <w:p>
      <w:pPr>
        <w:ind w:firstLine="600" w:firstLineChars="200"/>
      </w:pPr>
      <w:r>
        <w:rPr>
          <w:rFonts w:hint="eastAsia"/>
        </w:rPr>
        <w:t>优化市域重点城市建成区声环境功能区划，不断强化各类工业园区、工矿企业、交通枢纽、民航机场等噪声源监管，以及机关、学校、幼儿园、医院、宾馆及居民区等声敏感区域的声环境监测。加强施工噪声管理，对噪声源地和声敏感区域，规划建设声屏障、绿化隔离带等阻声设施，持续满足区域声环境功能区管理要求。严厉查处工业企业噪声排放超标扰民行为，为民众创造一个安静、舒适的工作和生活环境。到2025年，环境噪声污染防治能力得到进一步加强，重点源噪声污染排放达到相关目标要求，城市区域环境和道路交通噪声达到功能区标准要求。</w:t>
      </w:r>
    </w:p>
    <w:p>
      <w:pPr>
        <w:pStyle w:val="3"/>
        <w:spacing w:before="408" w:after="204"/>
      </w:pPr>
      <w:bookmarkStart w:id="25" w:name="_Toc123548291"/>
      <w:r>
        <w:rPr>
          <w:rFonts w:hint="eastAsia"/>
        </w:rPr>
        <w:t xml:space="preserve">第六章 </w:t>
      </w:r>
      <w:r>
        <w:t xml:space="preserve"> </w:t>
      </w:r>
      <w:r>
        <w:rPr>
          <w:rFonts w:hint="eastAsia"/>
        </w:rPr>
        <w:t>强化统筹治理，深入推进水生态环境保护</w:t>
      </w:r>
      <w:bookmarkEnd w:id="25"/>
    </w:p>
    <w:p>
      <w:pPr>
        <w:pStyle w:val="4"/>
      </w:pPr>
      <w:bookmarkStart w:id="26" w:name="_Toc123548292"/>
      <w:r>
        <w:rPr>
          <w:rFonts w:hint="eastAsia"/>
        </w:rPr>
        <w:t xml:space="preserve">第一节 </w:t>
      </w:r>
      <w:r>
        <w:t xml:space="preserve"> </w:t>
      </w:r>
      <w:r>
        <w:rPr>
          <w:rFonts w:hint="eastAsia"/>
        </w:rPr>
        <w:t>强化“三水”统筹管理</w:t>
      </w:r>
      <w:bookmarkEnd w:id="26"/>
    </w:p>
    <w:p>
      <w:pPr>
        <w:ind w:firstLine="602" w:firstLineChars="200"/>
      </w:pPr>
      <w:r>
        <w:rPr>
          <w:rFonts w:hint="eastAsia"/>
          <w:b/>
          <w:bCs/>
        </w:rPr>
        <w:t>强化水资源保障。</w:t>
      </w:r>
      <w:r>
        <w:rPr>
          <w:rFonts w:hint="eastAsia"/>
        </w:rPr>
        <w:t>全面落实生态流量管理措施，合理确定二卡湿地等重点河湖、主要控制断面生态流量保障目标，开展已建水利工程生态流量复核，合理安排闸坝下泄流量和泄流时段，保障河湖生态流量。推进水资源和水环境监测数据共享，研究开展生态流量监测。重点抓好源头水保护，加强黑土地水土保持，推进重点水源工程建设，有效维持合理的生态水位和水域面积。</w:t>
      </w:r>
    </w:p>
    <w:p>
      <w:pPr>
        <w:ind w:firstLine="602" w:firstLineChars="200"/>
      </w:pPr>
      <w:r>
        <w:rPr>
          <w:rFonts w:hint="eastAsia"/>
          <w:b/>
          <w:bCs/>
        </w:rPr>
        <w:t>推动重点流域水生态环境改善。</w:t>
      </w:r>
      <w:r>
        <w:rPr>
          <w:rFonts w:hint="eastAsia"/>
        </w:rPr>
        <w:t>实施满洲里市第二水源地，二卡牧场水功能区水环境、水资源、水生态保护与治理。持续加强霍尔津河流域优良水体保护，推进河湖湿地与缓冲带生态恢复和保育，有效保障“好水”水生态系统稳定。梳理劣V类和不达标水体清单，将断面水质目标纳入河湖长制管理，推进河湖“清四乱”常态化、规范化，加大不达标水体专项整治力度。因地制宜恢复建设水生植被，加强土著鱼类、珍稀濒危鱼类及水生生物栖息地保护。建立河湖休养生息长效机制，重点水域实行禁渔期制度，科学实施水生生物增殖放流。</w:t>
      </w:r>
    </w:p>
    <w:p>
      <w:pPr>
        <w:ind w:firstLine="602" w:firstLineChars="200"/>
      </w:pPr>
      <w:r>
        <w:rPr>
          <w:rFonts w:hint="eastAsia"/>
          <w:b/>
          <w:bCs/>
        </w:rPr>
        <w:t>完善水环境监管治理体系。</w:t>
      </w:r>
      <w:r>
        <w:rPr>
          <w:rFonts w:hint="eastAsia"/>
        </w:rPr>
        <w:t>以加强水环境监管治理，保障水环境安全为目标，明晰各级行政区域责任，建立覆盖全市的水生态环境质量空间管控体系。未达到水质目标的地区，依法制定并实施限期达标方案。以排污许可证为抓手，推动“水体断面-入河排污口-排污管线-污染源”全链条管理。推动建设污染治理、循环利用、生态保护有机结合的水环境综合治理体系，在入河排污口下游等关键节点，试点建设人工湿地水质净化等生态设施，对处理达标的尾水和微污染河水进一步净化改善后，作为再生水循环利用，纳入水资源调配管理体系。</w:t>
      </w:r>
    </w:p>
    <w:p>
      <w:pPr>
        <w:pStyle w:val="4"/>
      </w:pPr>
      <w:bookmarkStart w:id="27" w:name="_Toc123548293"/>
      <w:r>
        <w:rPr>
          <w:rFonts w:hint="eastAsia"/>
        </w:rPr>
        <w:t xml:space="preserve">第二节 </w:t>
      </w:r>
      <w:r>
        <w:t xml:space="preserve"> </w:t>
      </w:r>
      <w:r>
        <w:rPr>
          <w:rFonts w:hint="eastAsia"/>
        </w:rPr>
        <w:t>提升水环境安全保障水平</w:t>
      </w:r>
      <w:bookmarkEnd w:id="27"/>
    </w:p>
    <w:p>
      <w:pPr>
        <w:ind w:firstLine="602" w:firstLineChars="200"/>
      </w:pPr>
      <w:r>
        <w:rPr>
          <w:rFonts w:hint="eastAsia"/>
          <w:b/>
          <w:bCs/>
        </w:rPr>
        <w:t>巩固提升饮用水安全保障水平。</w:t>
      </w:r>
      <w:r>
        <w:rPr>
          <w:rFonts w:hint="eastAsia"/>
        </w:rPr>
        <w:t>按照规范化要求建设饮用水水源地，定期开展饮用水水源环境状况调查评估。进一步强化水源地执法监管，保障饮用水水源安全。推进水源地“一源一档”建设。进一步提高水源地风险防控和应急管理能力，组织开展突发环境事件应急演练。受区域水文地质条件限制导致部分指标超标的区域，切实加强供水厂达标运维，强化水源地、供水厂、水龙头水质监测，确保供水水质稳定达标，巩固城市饮用水水源保护与治理成果。到2</w:t>
      </w:r>
      <w:r>
        <w:t>025</w:t>
      </w:r>
      <w:r>
        <w:rPr>
          <w:rFonts w:hint="eastAsia"/>
        </w:rPr>
        <w:t>年，保持集中式饮用水水源水质稳定。</w:t>
      </w:r>
    </w:p>
    <w:p>
      <w:pPr>
        <w:ind w:firstLine="602" w:firstLineChars="200"/>
      </w:pPr>
      <w:r>
        <w:rPr>
          <w:rFonts w:hint="eastAsia"/>
          <w:b/>
          <w:bCs/>
        </w:rPr>
        <w:t>加强黑臭水体防治。</w:t>
      </w:r>
      <w:r>
        <w:rPr>
          <w:rFonts w:hint="eastAsia"/>
        </w:rPr>
        <w:t>全面排查市区城市建成区黑臭水体，系统推进城市黑臭水体防治，开展水质监测，每年进行一次城市黑臭水体整治环境保护专项行动，定期向社会公开黑臭水体治理进展情况。建立健全日常监管长效机制，对涉水企业和经营单位周边等可能形成黑臭水体的风险地区，加强风险隐患排查并建立排查清单，确保全覆盖、无遗漏，对常态化巡查中发现的问题随改随清，动态清零。2022年底前，市区城市完成建成区内黑臭水体排查并制定整治方案，统一公布黑臭水体清单及达标期限。到2025年市区城市建成区范围内持续保持无黑臭水体，扎实保障水环境安全。</w:t>
      </w:r>
    </w:p>
    <w:p>
      <w:pPr>
        <w:pStyle w:val="4"/>
      </w:pPr>
      <w:bookmarkStart w:id="28" w:name="_Toc123548294"/>
      <w:r>
        <w:rPr>
          <w:rFonts w:hint="eastAsia"/>
        </w:rPr>
        <w:t xml:space="preserve">第三节 </w:t>
      </w:r>
      <w:r>
        <w:t xml:space="preserve"> </w:t>
      </w:r>
      <w:r>
        <w:rPr>
          <w:rFonts w:hint="eastAsia"/>
        </w:rPr>
        <w:t>开展“美丽河湖”建设</w:t>
      </w:r>
      <w:bookmarkEnd w:id="28"/>
    </w:p>
    <w:p>
      <w:pPr>
        <w:ind w:firstLine="602" w:firstLineChars="200"/>
      </w:pPr>
      <w:r>
        <w:rPr>
          <w:rFonts w:hint="eastAsia"/>
          <w:b/>
          <w:bCs/>
        </w:rPr>
        <w:t>持续推进重点流域生态保护与环境治理。</w:t>
      </w:r>
      <w:r>
        <w:rPr>
          <w:rFonts w:hint="eastAsia"/>
        </w:rPr>
        <w:t>以新开河、霍尔津河等重要水体为重点，开展源头水保护、河滨带天然湿地修复，加强冷水性鱼类资源保护；以城镇和农田集中分布河段、湖滨为重点，着力加强城镇、园区环境基础设施建设，开展河道综合整治和河（湖）滨带建设工程、大型灌区退水治理等工程。开展中俄界河等国际界河（湖）环境风险管控，排查敏感风险点，对重点源开展实时监测，制定应急预警方案。</w:t>
      </w:r>
    </w:p>
    <w:p>
      <w:pPr>
        <w:ind w:firstLine="602" w:firstLineChars="200"/>
      </w:pPr>
      <w:r>
        <w:rPr>
          <w:rFonts w:hint="eastAsia"/>
          <w:b/>
          <w:bCs/>
        </w:rPr>
        <w:t>积极推动国家“美丽河湖”建设。</w:t>
      </w:r>
      <w:r>
        <w:rPr>
          <w:rFonts w:hint="eastAsia"/>
        </w:rPr>
        <w:t>选择典型流域、河湖，统筹考虑水环境、水生态、水资源，精准识别重点河湖主要问题症结，针对性实施区域水资源调控、水环境治理、生态缓冲带建设、湿地恢复与建设、生物多样性保护等措施，率先实现资源能源高效利用、工业产业绿色发展、河湖湿地生态环境明显改善、土著水生植物或鱼类重现等目标，彰显绿色底色和质量成色。在维护河湖生态功能的基础上，合理建设亲水便民设施，提升公众亲水环境品质，使公众直观感受到河湖之美。制定规划积极申报国家“美丽河湖”。完善美丽河湖长效管理机制，持续推进“美丽河湖”保护与建设。</w:t>
      </w:r>
    </w:p>
    <w:p>
      <w:pPr>
        <w:pStyle w:val="4"/>
      </w:pPr>
      <w:bookmarkStart w:id="29" w:name="_Toc123548295"/>
      <w:r>
        <w:rPr>
          <w:rFonts w:hint="eastAsia"/>
        </w:rPr>
        <w:t xml:space="preserve">第四节 </w:t>
      </w:r>
      <w:r>
        <w:t xml:space="preserve"> </w:t>
      </w:r>
      <w:r>
        <w:rPr>
          <w:rFonts w:hint="eastAsia"/>
        </w:rPr>
        <w:t>深化“多源”同治</w:t>
      </w:r>
      <w:bookmarkEnd w:id="29"/>
    </w:p>
    <w:p>
      <w:pPr>
        <w:ind w:firstLine="602" w:firstLineChars="200"/>
      </w:pPr>
      <w:r>
        <w:rPr>
          <w:rFonts w:hint="eastAsia"/>
          <w:b/>
          <w:bCs/>
        </w:rPr>
        <w:t>实施入河排污口分类整治。</w:t>
      </w:r>
      <w:r>
        <w:rPr>
          <w:rFonts w:hint="eastAsia"/>
        </w:rPr>
        <w:t>2025年底前，完成重点流域入河排污口排查，基本完成重点流域干流及重要支流、重点湖泊排污整治。实现“一口一档”排污口信息台账规范管理。</w:t>
      </w:r>
    </w:p>
    <w:p>
      <w:pPr>
        <w:ind w:firstLine="602" w:firstLineChars="200"/>
      </w:pPr>
      <w:r>
        <w:rPr>
          <w:rFonts w:hint="eastAsia"/>
          <w:b/>
          <w:bCs/>
        </w:rPr>
        <w:t>加强城镇污水收集处理。</w:t>
      </w:r>
      <w:r>
        <w:rPr>
          <w:rFonts w:hint="eastAsia"/>
        </w:rPr>
        <w:t>加快补齐城镇污水处理厂、网建设及运行短板，推进城镇污水管网全覆盖，对进水明显异常的污水处理厂开展片区管网系统化整治。实施雨污分流改造，杜绝污水直接排入雨水管网加快推进海绵城市建设。到2025年，实现中心城区污水全收集、全处理。鼓励城市开展初期雨水收集处理体系建设，建设人工湿地水质净化工程，对处理达标后的尾水进一步净化。持续做好城镇污水处理厂建设和改造，强化达标监管。到2025年，城镇污水处理设施能力基本满足生活污水处理需求，全市城镇污水集中处理率达到98.4%。继续加大再生水回用管网建设力度，提高再生水回用率。积极推进污泥无害化处置和资源化利用，形成可持续的污泥利用和消纳模式，到2025年，城市污泥无害化处置率达到90%以上。禁止处理处置不达标的污泥进入耕地。</w:t>
      </w:r>
    </w:p>
    <w:p>
      <w:pPr>
        <w:ind w:firstLine="602" w:firstLineChars="200"/>
      </w:pPr>
      <w:r>
        <w:rPr>
          <w:rFonts w:hint="eastAsia"/>
          <w:b/>
          <w:bCs/>
        </w:rPr>
        <w:t>推进重点行业污染防治。</w:t>
      </w:r>
      <w:r>
        <w:rPr>
          <w:rFonts w:hint="eastAsia"/>
        </w:rPr>
        <w:t>加快推进流域产业布局调整升级，推动重点行业、重点区域绿色发展，加大对化工、食品加工等行业污染治理力度。推进淀粉、肉类加工企业等清洁化改造，推进行业节水，新、改扩建项目优先利用污水处理厂再生水。继续推进工业园区污水集中处理，开展自治区级及以上工业园区依托城镇污水处理厂综合评估，加强对工业园区污水集中处理配套设施建设及运行管控，确保园区内企业污水全收集、全处理、稳定达标，加大再生水回用力度。</w:t>
      </w:r>
    </w:p>
    <w:p>
      <w:pPr>
        <w:pStyle w:val="3"/>
        <w:spacing w:before="408" w:after="204"/>
      </w:pPr>
      <w:bookmarkStart w:id="30" w:name="_Toc123548296"/>
      <w:r>
        <w:rPr>
          <w:rFonts w:hint="eastAsia"/>
        </w:rPr>
        <w:t xml:space="preserve">第七章 </w:t>
      </w:r>
      <w:r>
        <w:t xml:space="preserve"> </w:t>
      </w:r>
      <w:r>
        <w:rPr>
          <w:rFonts w:hint="eastAsia"/>
        </w:rPr>
        <w:t>加强系统防控，改善土壤环境治理</w:t>
      </w:r>
      <w:bookmarkEnd w:id="30"/>
    </w:p>
    <w:p>
      <w:pPr>
        <w:pStyle w:val="4"/>
      </w:pPr>
      <w:bookmarkStart w:id="31" w:name="_Toc123548297"/>
      <w:r>
        <w:rPr>
          <w:rFonts w:hint="eastAsia"/>
        </w:rPr>
        <w:t xml:space="preserve">第一节 </w:t>
      </w:r>
      <w:r>
        <w:t xml:space="preserve"> </w:t>
      </w:r>
      <w:r>
        <w:rPr>
          <w:rFonts w:hint="eastAsia"/>
        </w:rPr>
        <w:t>加强土壤生态环境保护</w:t>
      </w:r>
      <w:bookmarkEnd w:id="31"/>
    </w:p>
    <w:p>
      <w:pPr>
        <w:ind w:firstLine="602" w:firstLineChars="200"/>
      </w:pPr>
      <w:r>
        <w:rPr>
          <w:rFonts w:hint="eastAsia"/>
          <w:b/>
          <w:bCs/>
        </w:rPr>
        <w:t>扎实推进土壤环境风险分区管控。</w:t>
      </w:r>
      <w:r>
        <w:rPr>
          <w:rFonts w:hint="eastAsia"/>
        </w:rPr>
        <w:t>加强土壤生态环境风险分区管理，对安全利用类和严格管控类耕地、疑似污染地块、污染地块开展土壤污染状况调查，建设土壤环境质量监测网络和土壤环境基础数据库，提升土壤环境信息化管理水平，重点监测土壤中铅、镉、汞、铬、砷类金属等重金属污染物，以及多环芳烃、石油烃等有机污染物监测，根据调查结果对风险管控和修复效果进行评估。对划为优先保护类的农用地，实行严格保护，确保面积不减少、质量不下降。划为一般管控区的其他区域，执行区域生态环境保护的基本要求。整体推进土壤环境污染源头治理。全面排查并整治历史遗留无序堆存涉重固体废物，有效切断污染物进入农田途径。</w:t>
      </w:r>
    </w:p>
    <w:p>
      <w:pPr>
        <w:ind w:firstLine="602" w:firstLineChars="200"/>
      </w:pPr>
      <w:r>
        <w:rPr>
          <w:rFonts w:hint="eastAsia"/>
          <w:b/>
          <w:bCs/>
        </w:rPr>
        <w:t>强化土壤重点监管行业环境监管。</w:t>
      </w:r>
      <w:r>
        <w:rPr>
          <w:rFonts w:hint="eastAsia"/>
        </w:rPr>
        <w:t>鼓励土壤污染重点监管单 位因地制宜实施管道化、密闭化及防腐防渗改造，以及物料、污水、废气管线架空建设和改造，从源头上消除土壤污染。对化工、冶金、矿山采掘等可能对土壤环境产生影响的建设项目，严格土壤环境影响评价。根据典型行业有毒有害物质排放、腾退地块土壤污染情况，动态更新重点监管单位名录。对土壤污染重点监管企业定期开展周边土壤和地下水监督性监测，督促企业定期开展土壤及地下水自行监测、污染隐患排查，到2025年底，至少完成一次土壤和地下水污染隐患排查，建立台账并制定整治方案。</w:t>
      </w:r>
    </w:p>
    <w:p>
      <w:pPr>
        <w:ind w:firstLine="602" w:firstLineChars="200"/>
      </w:pPr>
      <w:r>
        <w:rPr>
          <w:rFonts w:hint="eastAsia"/>
          <w:b/>
          <w:bCs/>
        </w:rPr>
        <w:t>持续推进农用地分类管理和安全利用。</w:t>
      </w:r>
      <w:r>
        <w:rPr>
          <w:rFonts w:hint="eastAsia"/>
        </w:rPr>
        <w:t>对于严格管控类耕地，综合考虑土壤类型、程度，农产品超标情况、种植习惯等因素，以种植结构调整、治理修复为主。到2025年全市继续保持耕地地块零污染。</w:t>
      </w:r>
    </w:p>
    <w:p>
      <w:pPr>
        <w:ind w:firstLine="602" w:firstLineChars="200"/>
      </w:pPr>
      <w:r>
        <w:rPr>
          <w:rFonts w:hint="eastAsia"/>
          <w:b/>
          <w:bCs/>
        </w:rPr>
        <w:t>有序推进建设用地风险管控和治理修复。</w:t>
      </w:r>
      <w:r>
        <w:rPr>
          <w:rFonts w:hint="eastAsia"/>
        </w:rPr>
        <w:t>在建设用地实施土壤污染风险管控和修复名录制度，建立污染地块名录及其开发利用负面清单，以变更为住宅、公共管理和公共服务用地的地块，以及腾退工矿企业用地为重点，依法开展土壤污染状况调查和风险评估，严格用地准入，合理确定开发和使用时序，强化部门信息共享和联动监管。合理规划土地用途，在编制国土空间规划等相关规划时，应充分考虑土壤污染环境风险，合理确定土地用途。对需要实施治理与修复的污染地块，推广绿色修复理念，防止施工过程对地块及周边环境造成二次污染。协同土壤和地下水污染风险管控和修复，健全后期管理机制。</w:t>
      </w:r>
    </w:p>
    <w:p>
      <w:pPr>
        <w:pStyle w:val="4"/>
      </w:pPr>
      <w:bookmarkStart w:id="32" w:name="_Toc123548298"/>
      <w:r>
        <w:rPr>
          <w:rFonts w:hint="eastAsia"/>
        </w:rPr>
        <w:t xml:space="preserve">第二节 </w:t>
      </w:r>
      <w:r>
        <w:t xml:space="preserve"> </w:t>
      </w:r>
      <w:r>
        <w:rPr>
          <w:rFonts w:hint="eastAsia"/>
        </w:rPr>
        <w:t>推进地下水生态环境保护</w:t>
      </w:r>
      <w:bookmarkEnd w:id="32"/>
    </w:p>
    <w:p>
      <w:pPr>
        <w:ind w:firstLine="602" w:firstLineChars="200"/>
      </w:pPr>
      <w:r>
        <w:rPr>
          <w:rFonts w:hint="eastAsia"/>
          <w:b/>
          <w:bCs/>
        </w:rPr>
        <w:t>开展地下水环境调查评估。</w:t>
      </w:r>
      <w:r>
        <w:rPr>
          <w:rFonts w:hint="eastAsia"/>
        </w:rPr>
        <w:t>全面开展地下水“双源”环境状况调查评估，对全市“矿山企业、褐煤开采、石油开采、化工企业、危险废物处置、生活垃圾填埋场、地下水型饮用水水源地、化工园区等”重点行业企业所在地及周边地下水环境质量状况进行摸底调查，全面掌握全市地下水环境基础状况。</w:t>
      </w:r>
    </w:p>
    <w:p>
      <w:pPr>
        <w:ind w:firstLine="602" w:firstLineChars="200"/>
      </w:pPr>
      <w:r>
        <w:rPr>
          <w:rFonts w:hint="eastAsia"/>
          <w:b/>
          <w:bCs/>
        </w:rPr>
        <w:t>加强地下水污染协同防治。</w:t>
      </w:r>
      <w:r>
        <w:rPr>
          <w:rFonts w:hint="eastAsia"/>
        </w:rPr>
        <w:t>强化土壤和地下水污染协同防治，对可能影响地下水污染的建设用地地块，制定污染防治方案、污染状况调查、风险管控措施、治理修复方案，突出协同防治。强化地下水污染风险防控，对高风险的化工生产企业以及工业集聚区、危险废物处置场、垃圾填埋场等区域开展必要的防渗处理，防止持续污染地下水。实施报废矿井、钻井、取水井封井回填，强化示范评估。</w:t>
      </w:r>
    </w:p>
    <w:p>
      <w:pPr>
        <w:pStyle w:val="3"/>
        <w:spacing w:before="408" w:after="204"/>
      </w:pPr>
      <w:bookmarkStart w:id="33" w:name="_Toc123548299"/>
      <w:r>
        <w:rPr>
          <w:rFonts w:hint="eastAsia"/>
        </w:rPr>
        <w:t xml:space="preserve">第八章 </w:t>
      </w:r>
      <w:r>
        <w:t xml:space="preserve"> </w:t>
      </w:r>
      <w:r>
        <w:rPr>
          <w:rFonts w:hint="eastAsia"/>
        </w:rPr>
        <w:t>加强生态保护监管，筑牢北方生态安全屏障</w:t>
      </w:r>
      <w:bookmarkEnd w:id="33"/>
    </w:p>
    <w:p>
      <w:pPr>
        <w:pStyle w:val="4"/>
      </w:pPr>
      <w:bookmarkStart w:id="34" w:name="_Toc123548300"/>
      <w:r>
        <w:rPr>
          <w:rFonts w:hint="eastAsia"/>
        </w:rPr>
        <w:t xml:space="preserve">第一节 </w:t>
      </w:r>
      <w:r>
        <w:t xml:space="preserve"> </w:t>
      </w:r>
      <w:r>
        <w:rPr>
          <w:rFonts w:hint="eastAsia"/>
        </w:rPr>
        <w:t>加强自然保护地和生态保护红线监管</w:t>
      </w:r>
      <w:bookmarkEnd w:id="34"/>
    </w:p>
    <w:p>
      <w:pPr>
        <w:ind w:firstLine="602" w:firstLineChars="200"/>
      </w:pPr>
      <w:r>
        <w:rPr>
          <w:rFonts w:hint="eastAsia"/>
          <w:b/>
          <w:bCs/>
        </w:rPr>
        <w:t>严守生态保护红线。</w:t>
      </w:r>
      <w:r>
        <w:rPr>
          <w:rFonts w:hint="eastAsia"/>
        </w:rPr>
        <w:t>推进精细化空间管控，严禁不符合主体功能定位的各类开发活动，进一步推动违法违规侵占生态空间的行为退出和修复。将生态保护红线作为维持全市生态功能的底线，确保生态功能不降低、面积不减少、性质不改变，有效保护重要生态功能区域、重要生态系统及主要物种，提高全市生态产品供给能力。</w:t>
      </w:r>
    </w:p>
    <w:p>
      <w:pPr>
        <w:ind w:firstLine="602" w:firstLineChars="200"/>
      </w:pPr>
      <w:r>
        <w:rPr>
          <w:rFonts w:hint="eastAsia"/>
          <w:b/>
          <w:bCs/>
        </w:rPr>
        <w:t>开展生态保护红线监管。</w:t>
      </w:r>
      <w:r>
        <w:rPr>
          <w:rFonts w:hint="eastAsia"/>
        </w:rPr>
        <w:t>对生态保护红线保护成效进行评价考核，及时发现和依法处罚破坏生态保护红线的违法行为，切实做到有案必查、违法必究。</w:t>
      </w:r>
    </w:p>
    <w:p>
      <w:pPr>
        <w:ind w:firstLine="602" w:firstLineChars="200"/>
      </w:pPr>
      <w:r>
        <w:rPr>
          <w:rFonts w:hint="eastAsia"/>
          <w:b/>
          <w:bCs/>
        </w:rPr>
        <w:t>加强自然保护地体系管理。</w:t>
      </w:r>
      <w:r>
        <w:rPr>
          <w:rFonts w:hint="eastAsia"/>
        </w:rPr>
        <w:t>推进以自然保护区为主体，各类自然公园为补充的自然保护地体系建设。加强自然保护地管理，科学划定自然保护地类型、范围及功能分区，加快完成各类自然保护地整合归并优化及勘界立标，制定完善各级各类自然保护地整体规划。实地核查自然保护地人类活动遥感监测问题线索并监督处理整改。持续推进“绿盾”自然保护地强化监督，严格落实自然保护地生态环境问题台账管理、跟踪监督、整改销号制度。严格管控自然保护地范围内非生态活动，分类有序解决自然保护地内历史遗留问题。依法实施自然保护区内矿业权有序退出后续工作。开展自然保护地保护成效评估。</w:t>
      </w:r>
    </w:p>
    <w:p>
      <w:pPr>
        <w:pStyle w:val="4"/>
      </w:pPr>
      <w:bookmarkStart w:id="35" w:name="_Toc123548301"/>
      <w:r>
        <w:rPr>
          <w:rFonts w:hint="eastAsia"/>
        </w:rPr>
        <w:t xml:space="preserve">第二节 </w:t>
      </w:r>
      <w:r>
        <w:t xml:space="preserve"> </w:t>
      </w:r>
      <w:r>
        <w:rPr>
          <w:rFonts w:hint="eastAsia"/>
        </w:rPr>
        <w:t>加强生物多样性保护</w:t>
      </w:r>
      <w:bookmarkEnd w:id="35"/>
    </w:p>
    <w:p>
      <w:pPr>
        <w:ind w:firstLine="600" w:firstLineChars="200"/>
      </w:pPr>
      <w:r>
        <w:rPr>
          <w:rFonts w:hint="eastAsia"/>
        </w:rPr>
        <w:t>落实草原保护制度。严格执行基本草原保护、禁牧休牧和草畜平衡制度，建立和完善草原生态补偿长效机制；加强动植物疫情和外来入侵物种口岸防控，强化对外来物种入侵的管理和检测工作，保护草原生物多样性；严禁在草原上乱采滥挖、新上矿产资源开发等工业项目，已批准在建运营的矿山、风电、光伏等项目到期退出，新建风电、光伏电站重点布局在采煤沉陷区、露天矿排土场，推广“光伏+生态治理”基地建设模式。加强草原生态系统的保护与恢复治理。坚持“宜林则林、宜草则草，分步实施、量力而行”，争创退化草原生态修复国家试点，在草原退化严重地区，进行草地牧草播种、人工种草、种子、种苗，防止沙化扩张；加强野生植物保护，严禁采挖收购运输草原野生药用植物，加大古树名木保护力度。全面禁止非法野生动物交易。全面禁止食用国家保护的“有重要生态、科学、社会价值的陆生野生动物”以及其他陆生野生动物，包括人工繁育、人工饲养的陆生野生动物，全面禁止以食用为目的猎捕、交易、运输在野外环境自然生长繁殖的陆生野生动物，革除滥食野生动物陋习；因科研、药用、展示等特殊情况，需要对野生动物进行非食用性利用的，应当按照国家有关规定实行严格审批和检疫检验。发展绿色生态产业。加强天然草原生态保护，发展优质人工草地和饲草产业，按照以草定畜的原则科学核定草原载畜量，合理规划建设高产饲料地、网围栏，禁绝过载放牧，适度发展草原牧场观光旅游、休闲度假旅游、家庭畜牧业等绿色生态产业。</w:t>
      </w:r>
    </w:p>
    <w:p>
      <w:pPr>
        <w:pStyle w:val="4"/>
      </w:pPr>
      <w:bookmarkStart w:id="36" w:name="_Toc123548302"/>
      <w:r>
        <w:rPr>
          <w:rFonts w:hint="eastAsia"/>
        </w:rPr>
        <w:t xml:space="preserve">第三节 </w:t>
      </w:r>
      <w:r>
        <w:t xml:space="preserve"> </w:t>
      </w:r>
      <w:r>
        <w:rPr>
          <w:rFonts w:hint="eastAsia"/>
        </w:rPr>
        <w:t>推进生态系统保护修复</w:t>
      </w:r>
      <w:bookmarkEnd w:id="36"/>
    </w:p>
    <w:p>
      <w:pPr>
        <w:ind w:firstLine="602" w:firstLineChars="200"/>
      </w:pPr>
      <w:r>
        <w:rPr>
          <w:rFonts w:hint="eastAsia"/>
          <w:b/>
          <w:bCs/>
        </w:rPr>
        <w:t>统筹推进山水林田湖草沙系统治理。</w:t>
      </w:r>
      <w:r>
        <w:rPr>
          <w:rFonts w:hint="eastAsia"/>
        </w:rPr>
        <w:t>科学开展国土绿化行动，持续实施天然林资源保护、公益林保护、森林质量精准提升等工程。落实禁牧休牧、草畜平衡和基本草原保护制度，开展草原生态系统健康评价，深化草原生态保护补奖机制，实施草原保护与修复重大工程。加大草原生态监管力度，严禁在草原上乱采滥挖、新上矿产资源开发等工业项目，已批准在建运营的矿山、风电、光伏等项目到期退出。到2025年，全市草原退化沙化趋势总体得到遏制，草原综合植被盖度稳定在</w:t>
      </w:r>
      <w:r>
        <w:t>23.5</w:t>
      </w:r>
      <w:r>
        <w:rPr>
          <w:rFonts w:hint="eastAsia"/>
        </w:rPr>
        <w:t>%以上。二卡国家湿地公园、霍勒金布拉格国家湿地公园基础设施建设项目，新开河、乌日根河、霍尔津河等综合治理和生态修复工程。对已经治理的沙化土地加强保护。加快建设锁边防风固沙体系和防风防沙生态林带，强化封沙育林育草、网格固沙障建设，通过恢复沙地樟子松、实施植苗造林、灌草混播治理、高立式沙障治理、沙化土地封禁保护等方式恢复原生植被，增强防风固沙、水土保持、维护生物多样性等功能。到2025年，实现流动沙地和半固定沙地得到有效控制，沙区物种多样性有所增加。加大矿山生态恢复治理力度，有序推进闭坑、政策性关闭、历史遗留、责任主体灭失矿山环境综合治理，加快露天矿生态修复及采空区灾害治理，着力推进绿色矿山建设，到2025年，全部矿山达到国家或自治区级绿色矿山建设标准，不符合绿色矿山标准的逐步退出市场。</w:t>
      </w:r>
    </w:p>
    <w:p>
      <w:pPr>
        <w:ind w:firstLine="602" w:firstLineChars="200"/>
      </w:pPr>
      <w:r>
        <w:rPr>
          <w:rFonts w:hint="eastAsia"/>
          <w:b/>
          <w:bCs/>
        </w:rPr>
        <w:t>开展生态保护修复成效评估。</w:t>
      </w:r>
      <w:r>
        <w:rPr>
          <w:rFonts w:hint="eastAsia"/>
        </w:rPr>
        <w:t>开展重要生态系统保护修复工程实施成效评估，定期组织开展生态保护修复工程实施成效自评估，监督工程实施主体在生态保护修复过程中，开展生态质量、环境质量变化情况监测。加强评估成果综合应用，将生态状况调查评估结果作为生态补偿和生态保护修复治理专项资金配置的依据。</w:t>
      </w:r>
    </w:p>
    <w:p>
      <w:pPr>
        <w:pStyle w:val="4"/>
      </w:pPr>
      <w:bookmarkStart w:id="37" w:name="_Toc123548303"/>
      <w:r>
        <w:rPr>
          <w:rFonts w:hint="eastAsia"/>
        </w:rPr>
        <w:t xml:space="preserve">第四节 </w:t>
      </w:r>
      <w:r>
        <w:t xml:space="preserve"> </w:t>
      </w:r>
      <w:r>
        <w:rPr>
          <w:rFonts w:hint="eastAsia"/>
        </w:rPr>
        <w:t>建立健全生态产品价值实现机制</w:t>
      </w:r>
      <w:bookmarkEnd w:id="37"/>
    </w:p>
    <w:p>
      <w:pPr>
        <w:ind w:firstLine="600" w:firstLineChars="200"/>
      </w:pPr>
      <w:r>
        <w:rPr>
          <w:rFonts w:hint="eastAsia"/>
        </w:rPr>
        <w:t>积极争取列入国家和自治区生态产品价值实现机制试点，在生态产品价值核算、供需精准对接、可持续经营开发、保护补偿等方面开展积极探索。落实自然资源资产产权制度，完善生态产品调查监测机制，对森林、草原、农田、荒地、河湖、湿地、矿产等自然生态空间和自然资源资产进行确权登记，持续推进编制自然资源资产负债表。建立生态产品价值评价体系，深入推进生态产品价值核算，延伸拓展生态产品价值核算结果在生态保护补偿、生态环境损害赔偿、经营开发融资、生态资源权益交易等方面的应用。积极发展绿色金融，探索发展生态产品价值实现金融服务体系。促进生态产品供需精准对接，探索推动生态资源权益交易，结合国家、自治区和呼伦贝尔市有关部署，探索开展用能权、碳排放权、排污权、水权交易和气候生态价值评估等。重点推进碳汇开发，加强与国家碳市场、碳排放权交易、CCER（国家核证自愿减排标准）等政策对接，批次开展CCER造林和森林经营项目储备，实现绿色生态资源可变现可交易。</w:t>
      </w:r>
    </w:p>
    <w:p>
      <w:pPr>
        <w:pStyle w:val="3"/>
        <w:spacing w:before="408" w:after="204"/>
      </w:pPr>
      <w:bookmarkStart w:id="38" w:name="_Toc123548304"/>
      <w:r>
        <w:rPr>
          <w:rFonts w:hint="eastAsia"/>
        </w:rPr>
        <w:t xml:space="preserve">第九章 </w:t>
      </w:r>
      <w:r>
        <w:t xml:space="preserve"> </w:t>
      </w:r>
      <w:r>
        <w:rPr>
          <w:rFonts w:hint="eastAsia"/>
        </w:rPr>
        <w:t>强化风险防控，有效防范环境风险</w:t>
      </w:r>
      <w:bookmarkEnd w:id="38"/>
    </w:p>
    <w:p>
      <w:pPr>
        <w:pStyle w:val="4"/>
      </w:pPr>
      <w:bookmarkStart w:id="39" w:name="_Toc123548305"/>
      <w:r>
        <w:rPr>
          <w:rFonts w:hint="eastAsia"/>
        </w:rPr>
        <w:t xml:space="preserve">第一节 </w:t>
      </w:r>
      <w:r>
        <w:t xml:space="preserve"> </w:t>
      </w:r>
      <w:r>
        <w:rPr>
          <w:rFonts w:hint="eastAsia"/>
        </w:rPr>
        <w:t>强化核与辐射环境安全监管</w:t>
      </w:r>
      <w:bookmarkEnd w:id="39"/>
    </w:p>
    <w:p>
      <w:pPr>
        <w:ind w:firstLine="600" w:firstLineChars="200"/>
      </w:pPr>
      <w:r>
        <w:rPr>
          <w:rFonts w:hint="eastAsia"/>
        </w:rPr>
        <w:t>健全核与辐射安全管理体系。开展核与辐射隐患排查。加强放射源全程信息化管理。加快核与辐射事故应急预案修订，积极组织核与辐射事故应急演练，提升应急处置能力。强化核与辐射环境监测能力建设。电磁辐射设施建设项目严格执行环境影响评价和“三同时”制度。推进电磁辐射建设项目的规范化管理，逐步推广“绿色基站”“绿色变电站”建设。</w:t>
      </w:r>
      <w:bookmarkStart w:id="40" w:name="_Toc123548306"/>
      <w:r>
        <w:t>在城区内定期对环境电磁辐射进行例行监测；定期对市区内重点电磁设施进行适时监督监测。</w:t>
      </w:r>
    </w:p>
    <w:p>
      <w:pPr>
        <w:ind w:firstLine="640" w:firstLineChars="200"/>
        <w:jc w:val="center"/>
        <w:rPr>
          <w:rFonts w:ascii="微软雅黑" w:hAnsi="微软雅黑" w:eastAsia="微软雅黑"/>
          <w:b/>
          <w:bCs/>
          <w:sz w:val="32"/>
          <w:szCs w:val="32"/>
        </w:rPr>
      </w:pPr>
      <w:r>
        <w:rPr>
          <w:rFonts w:hint="eastAsia" w:ascii="微软雅黑" w:hAnsi="微软雅黑" w:eastAsia="微软雅黑"/>
          <w:b/>
          <w:bCs/>
          <w:sz w:val="32"/>
          <w:szCs w:val="32"/>
        </w:rPr>
        <w:t xml:space="preserve">第二节 </w:t>
      </w:r>
      <w:r>
        <w:rPr>
          <w:rFonts w:ascii="微软雅黑" w:hAnsi="微软雅黑" w:eastAsia="微软雅黑"/>
          <w:b/>
          <w:bCs/>
          <w:sz w:val="32"/>
          <w:szCs w:val="32"/>
        </w:rPr>
        <w:t xml:space="preserve"> </w:t>
      </w:r>
      <w:r>
        <w:rPr>
          <w:rFonts w:hint="eastAsia" w:ascii="微软雅黑" w:hAnsi="微软雅黑" w:eastAsia="微软雅黑"/>
          <w:b/>
          <w:bCs/>
          <w:sz w:val="32"/>
          <w:szCs w:val="32"/>
        </w:rPr>
        <w:t>提升危险废物处理处置及监管能力</w:t>
      </w:r>
      <w:bookmarkEnd w:id="40"/>
    </w:p>
    <w:p>
      <w:pPr>
        <w:pStyle w:val="5"/>
        <w:ind w:firstLine="602"/>
      </w:pPr>
      <w:r>
        <w:rPr>
          <w:rFonts w:hint="eastAsia"/>
          <w:b/>
          <w:bCs/>
        </w:rPr>
        <w:t>提高危险废物利用处置和监管能力。</w:t>
      </w:r>
      <w:r>
        <w:rPr>
          <w:rFonts w:hint="eastAsia"/>
        </w:rPr>
        <w:t>提升危险废物环境监管能力，促进利用处置设施合理布局，实现利用处置能力与产废情况总体匹配。支持以医疗废物、废矿物油、废铅蓄电池为重点的危险废物收集、处置设施。完善危险废物全过程动态环境监管体系，提升固体废物信息化监管能力和水平，有序推进危险废物全过程监控和信息化追溯。强化废弃危险化学品及持久性有机污染物的环境监管，实施环境激素类、高危害、高风险化学品淘汰、限制、替代等措施。深入推进危险废物规范化管理，完善危险废物环境重点监管单位清单，及时整改前期环境风险排查整治发现的难点问题。开展危险废物专项整治，严厉打击“洋垃圾”走私入境和危险废物非法转移倾倒等违法犯罪行为，积极推行环境污染第三方治理，建立健全“污染者付费+第三方治理”等机制。到2025年，持续保持危险废物处置率达100%。</w:t>
      </w:r>
    </w:p>
    <w:p>
      <w:pPr>
        <w:pStyle w:val="5"/>
        <w:ind w:firstLine="602"/>
      </w:pPr>
      <w:r>
        <w:rPr>
          <w:rFonts w:hint="eastAsia"/>
          <w:b/>
          <w:bCs/>
        </w:rPr>
        <w:t>推动医疗废物处理处置体系建设。</w:t>
      </w:r>
      <w:r>
        <w:rPr>
          <w:rFonts w:hint="eastAsia"/>
        </w:rPr>
        <w:t>完善健全市区医疗废弃物收集转运处置体系，对难以稳定运行的处置设施实施升级改造。加强医疗废物全过程管理，形成多部门共同参与的联防联控机制，健全医疗废物应急处置响应机制、完善处置物资储备体系、建立协同应急处置设施清单，做好突发疫情医疗废物应急处置能力和设施的储备与建设工作。到2025年，持续保持全市医疗废物全部实现无害化处置。</w:t>
      </w:r>
    </w:p>
    <w:p>
      <w:pPr>
        <w:pStyle w:val="4"/>
      </w:pPr>
      <w:bookmarkStart w:id="41" w:name="_Toc123548307"/>
      <w:r>
        <w:rPr>
          <w:rFonts w:hint="eastAsia"/>
        </w:rPr>
        <w:t xml:space="preserve">第三节 </w:t>
      </w:r>
      <w:r>
        <w:t xml:space="preserve"> </w:t>
      </w:r>
      <w:r>
        <w:rPr>
          <w:rFonts w:hint="eastAsia"/>
        </w:rPr>
        <w:t>强化重金属污染防治</w:t>
      </w:r>
      <w:bookmarkEnd w:id="41"/>
    </w:p>
    <w:p>
      <w:pPr>
        <w:ind w:firstLine="602" w:firstLineChars="200"/>
      </w:pPr>
      <w:r>
        <w:rPr>
          <w:rFonts w:hint="eastAsia"/>
          <w:b/>
          <w:bCs/>
        </w:rPr>
        <w:t>控制重金属污染物排放总量。</w:t>
      </w:r>
      <w:r>
        <w:rPr>
          <w:rFonts w:hint="eastAsia"/>
        </w:rPr>
        <w:t>严格重点区域涉重金属建设项目环境准入，持续减少重金属污染物排放。涉重金属污染物排放企业执行强制性清洁生产审核，新建重金属污染物排放企业清洁生产相关指标执行特别排放限值。聚焦铅、汞、镉、铬、砷等重金属污染物，深入推进重点河流湖库、水源地、农田等环境敏感区域周边涉重金属企业污染治理。加强涉重产业转移承接地行业环境管理，加强涉重行业企业与重金属历史遗留问题地区环境质量监测体系建设，完善污染防治措施和环境风险应急预案，强化重点区域、重点行业重金属污染监控预警。</w:t>
      </w:r>
    </w:p>
    <w:p>
      <w:pPr>
        <w:ind w:firstLine="602" w:firstLineChars="200"/>
      </w:pPr>
      <w:r>
        <w:rPr>
          <w:rFonts w:hint="eastAsia"/>
          <w:b/>
          <w:bCs/>
        </w:rPr>
        <w:t>加强渣场污染综合治理。</w:t>
      </w:r>
      <w:r>
        <w:rPr>
          <w:rFonts w:hint="eastAsia"/>
        </w:rPr>
        <w:t>开展采矿废石堆场等环境风险隐患排查，实施“一场一策”分类分级整治。严格新建（改、扩）各类渣场环境准入，严控新增环境污染风险，持续推进实施绿色矿山建设，推进环境风险隐患排查整治。</w:t>
      </w:r>
    </w:p>
    <w:p>
      <w:pPr>
        <w:pStyle w:val="4"/>
      </w:pPr>
      <w:bookmarkStart w:id="42" w:name="_Toc123548308"/>
      <w:r>
        <w:rPr>
          <w:rFonts w:hint="eastAsia"/>
        </w:rPr>
        <w:t xml:space="preserve">第四节 </w:t>
      </w:r>
      <w:r>
        <w:t xml:space="preserve"> </w:t>
      </w:r>
      <w:r>
        <w:rPr>
          <w:rFonts w:hint="eastAsia"/>
        </w:rPr>
        <w:t>推进其他固体废物利用处置</w:t>
      </w:r>
      <w:bookmarkEnd w:id="42"/>
    </w:p>
    <w:p>
      <w:pPr>
        <w:ind w:firstLine="602" w:firstLineChars="200"/>
      </w:pPr>
      <w:r>
        <w:rPr>
          <w:rFonts w:hint="eastAsia"/>
          <w:b/>
          <w:bCs/>
        </w:rPr>
        <w:t>推进固废利用处置。</w:t>
      </w:r>
      <w:r>
        <w:rPr>
          <w:rFonts w:hint="eastAsia"/>
        </w:rPr>
        <w:t>促进主要农业废弃物全量利用。完善和落实有关鼓励固体废物综合利用和处置的优惠政策。以煤矸石、粉煤灰、建筑垃圾等为重点，建设综合利用示范，到2025年，支持煤矸石、粉煤灰、矿山废石、尾矿充填或回填采空区和矿坑，鼓励利用矿区露天采空区处置一般工业固体废物。优先选用尾矿、粉煤灰作为城市建设、铁路和公路建设等建筑、筑路材料。鼓励利用研石、粉煤灰等生产新型墙体材料、装饰装修材料等绿色建材。到2025年，工业固废综合利用率达到60%以上。加强生活垃圾污染治理，提高城市生活垃圾处理减量化、资源化和无害化水平，实现城镇垃圾处理设施全覆盖。鼓励群众对生活垃圾实施分类，继续开展城乡生活垃圾分类收集和处理试点。提高垃圾分类收运能力和水平，全面推进焚烧处理能力建设。加强垃圾渗滤液处理，对旧的垃圾堆放场和服务期满要封场的填埋场按照规范要求进行治理。加强城市低值废弃物资源化利用。</w:t>
      </w:r>
    </w:p>
    <w:p>
      <w:pPr>
        <w:ind w:firstLine="602" w:firstLineChars="200"/>
      </w:pPr>
      <w:r>
        <w:rPr>
          <w:rFonts w:hint="eastAsia"/>
          <w:b/>
          <w:bCs/>
        </w:rPr>
        <w:t>加强塑料污染治理。</w:t>
      </w:r>
      <w:r>
        <w:rPr>
          <w:rFonts w:hint="eastAsia"/>
        </w:rPr>
        <w:t>加大塑料污染治理力度，加强全市塑料回收、利用、处置等环节环境监管，建立健全塑料制品长效管理机制。严厉打击塑料违规生产销售行为，严格医疗机构内部废弃物的分类管理。城市建成区及镇政府所在地的商场、超市、药店、书店等场所以及餐饮打包外卖服务和各类会展活动，禁止使用不可降解塑料袋，集贸市场规范和限制使用不可降解塑料袋。积极推广一次性塑料可替代产品。完善快递包装规范使用，规范塑料废弃物回收利用和处置。到2025年，全市塑料垃圾填埋量大幅降低，塑料污染得到有效控制。</w:t>
      </w:r>
    </w:p>
    <w:p>
      <w:pPr>
        <w:pStyle w:val="4"/>
      </w:pPr>
      <w:bookmarkStart w:id="43" w:name="_Toc123548309"/>
      <w:r>
        <w:rPr>
          <w:rFonts w:hint="eastAsia"/>
        </w:rPr>
        <w:t xml:space="preserve">第五节 </w:t>
      </w:r>
      <w:r>
        <w:t xml:space="preserve"> </w:t>
      </w:r>
      <w:r>
        <w:rPr>
          <w:rFonts w:hint="eastAsia"/>
        </w:rPr>
        <w:t>加大新污染物基础调查及排放控制</w:t>
      </w:r>
      <w:bookmarkEnd w:id="43"/>
    </w:p>
    <w:p>
      <w:pPr>
        <w:ind w:firstLine="602" w:firstLineChars="200"/>
      </w:pPr>
      <w:r>
        <w:rPr>
          <w:rFonts w:hint="eastAsia"/>
          <w:b/>
          <w:bCs/>
        </w:rPr>
        <w:t>开展新污染物调查评估。</w:t>
      </w:r>
      <w:r>
        <w:rPr>
          <w:rFonts w:hint="eastAsia"/>
        </w:rPr>
        <w:t>深入开展全市化学品基础信息调查更新，进行重点行业重点化学物质生产使用信息调查和环境危害评估，识别有毒有害化学物质。</w:t>
      </w:r>
    </w:p>
    <w:p>
      <w:pPr>
        <w:ind w:firstLine="602" w:firstLineChars="200"/>
      </w:pPr>
      <w:r>
        <w:rPr>
          <w:rFonts w:hint="eastAsia"/>
          <w:b/>
          <w:bCs/>
        </w:rPr>
        <w:t>加强新污染物排放控制。</w:t>
      </w:r>
      <w:r>
        <w:rPr>
          <w:rFonts w:hint="eastAsia"/>
        </w:rPr>
        <w:t>建立有毒有害化学物质环境风险管理信息数据库。提升全市新污染物环境监测、检测能力。对使用有毒有害化学物质或在生产过程中排放新污染物的企业，全面实施强制性清洁生产审核。建立废弃木材、矿产衍生物、木材和电器电子产品处理的第三方审核机制，推进危险废物污染防控，建立化学品环境风险防控体系，严格禁止“洋垃圾”进口。严格落实《产业结构调整指导目录》，强化绿色替代品和替代技术推广应用。严厉打击持久性有机污染物非法生产和使用、添汞产品非法生产等违法行为。</w:t>
      </w:r>
    </w:p>
    <w:p>
      <w:pPr>
        <w:pStyle w:val="4"/>
      </w:pPr>
      <w:bookmarkStart w:id="44" w:name="_Toc123548310"/>
      <w:r>
        <w:rPr>
          <w:rFonts w:hint="eastAsia"/>
        </w:rPr>
        <w:t xml:space="preserve">第六节 </w:t>
      </w:r>
      <w:r>
        <w:t xml:space="preserve"> </w:t>
      </w:r>
      <w:r>
        <w:rPr>
          <w:rFonts w:hint="eastAsia"/>
        </w:rPr>
        <w:t>强化环境风险预警与应急管理</w:t>
      </w:r>
      <w:bookmarkEnd w:id="44"/>
    </w:p>
    <w:p>
      <w:pPr>
        <w:ind w:firstLine="602" w:firstLineChars="200"/>
      </w:pPr>
      <w:r>
        <w:rPr>
          <w:rFonts w:hint="eastAsia"/>
          <w:b/>
          <w:bCs/>
        </w:rPr>
        <w:t>加强环境风险预警防控。</w:t>
      </w:r>
      <w:r>
        <w:rPr>
          <w:rFonts w:hint="eastAsia"/>
        </w:rPr>
        <w:t>完善突发环境事件应急管理多层次预案体系，健全生态环境风险动态评价和管控机制及突发环境事件应对工作机制。2022年底前完成市区政府突发环境事件应急预案修编。完善环境安全例会和例检，定期开展企事业环境风险隐患排查专项整治。完善环境应急响应体系，规范环境应急响应流程，加强环境风险监控和污染控制，及时科学处置突发环境事件。实施企业环境应急预案电子化备案，实现涉危涉重企业全覆盖。加强对政府、企业预案的动态管理，规范定期开展各级环境应急演练和培训制度。</w:t>
      </w:r>
    </w:p>
    <w:p>
      <w:pPr>
        <w:ind w:firstLine="602" w:firstLineChars="200"/>
      </w:pPr>
      <w:r>
        <w:rPr>
          <w:rFonts w:hint="eastAsia"/>
          <w:b/>
          <w:bCs/>
        </w:rPr>
        <w:t>加强环境应急能力建设。</w:t>
      </w:r>
      <w:r>
        <w:rPr>
          <w:rFonts w:hint="eastAsia"/>
        </w:rPr>
        <w:t>强化饮用水源环境风险评估，推动建设必要的应急防控工程。以化工企业及化工园区、危险化学品运输道路为重点，强化环境风险评估和完善环境风险防范措施。加强应急监测能力，建设全市环境应急物资储备库，建立环境应急物资信息管理系统。推动专业化应急队伍建设，构建突发环境事件应急处置专家库。完善区域联动的应急响应与调度支援机制。加强应急监测装备配置，定期开展应急监测演练，增强实战能力。完善区域联动快速的应急响应与调度支援机制，形成有效应对市域内多起突发环境事件的能力。</w:t>
      </w:r>
    </w:p>
    <w:p>
      <w:pPr>
        <w:pStyle w:val="3"/>
        <w:spacing w:before="408" w:after="204"/>
      </w:pPr>
      <w:bookmarkStart w:id="45" w:name="_Toc123548311"/>
      <w:r>
        <w:rPr>
          <w:rFonts w:hint="eastAsia"/>
        </w:rPr>
        <w:t xml:space="preserve">第十章 </w:t>
      </w:r>
      <w:r>
        <w:t xml:space="preserve"> </w:t>
      </w:r>
      <w:r>
        <w:rPr>
          <w:rFonts w:hint="eastAsia"/>
        </w:rPr>
        <w:t>深化改革创新，构建现代环境治理体系</w:t>
      </w:r>
      <w:bookmarkEnd w:id="45"/>
    </w:p>
    <w:p>
      <w:pPr>
        <w:pStyle w:val="4"/>
      </w:pPr>
      <w:bookmarkStart w:id="46" w:name="_Toc123548312"/>
      <w:r>
        <w:rPr>
          <w:rFonts w:hint="eastAsia"/>
        </w:rPr>
        <w:t xml:space="preserve">第一节 </w:t>
      </w:r>
      <w:r>
        <w:t xml:space="preserve"> </w:t>
      </w:r>
      <w:r>
        <w:rPr>
          <w:rFonts w:hint="eastAsia"/>
        </w:rPr>
        <w:t>创新生态环境管理模式</w:t>
      </w:r>
      <w:bookmarkEnd w:id="46"/>
    </w:p>
    <w:p>
      <w:pPr>
        <w:ind w:firstLine="602" w:firstLineChars="200"/>
      </w:pPr>
      <w:r>
        <w:rPr>
          <w:rFonts w:hint="eastAsia"/>
          <w:b/>
          <w:bCs/>
        </w:rPr>
        <w:t>强化生态环境保护领导责任。</w:t>
      </w:r>
      <w:r>
        <w:rPr>
          <w:rFonts w:hint="eastAsia"/>
        </w:rPr>
        <w:t>充分发挥市区生态环境保护委员会职能作用，贯彻执行《满洲里市各级党委（党工委）和管委会及有关部门单位生态环境保护责任清单》。市区党委政府具体抓落实，承担污染防治、生态保护、监管执法、市场规范、资金安排、宣传教育等工作；健全部门协作机制，有关部门对生态环境保护分工负责，构建各负其责、齐抓共管的生态环境保护新格局，持续推进自然资源资产负债表编制、领导干部自然资源资产离任（任中）审计、生态环境损害责任终身追究。</w:t>
      </w:r>
    </w:p>
    <w:p>
      <w:pPr>
        <w:ind w:firstLine="602" w:firstLineChars="200"/>
      </w:pPr>
      <w:r>
        <w:rPr>
          <w:rFonts w:hint="eastAsia"/>
          <w:b/>
          <w:bCs/>
        </w:rPr>
        <w:t>落实企业生态环境保护主体责任。</w:t>
      </w:r>
      <w:r>
        <w:rPr>
          <w:rFonts w:hint="eastAsia"/>
        </w:rPr>
        <w:t>严格执行环境影响评价、排污许可、排污权交易等相关制度，压实排污企业生产过程中的减排责任。淘汰落后生产工艺技术、开展技术创新，推行清洁生产，加强全过程管理，严格落实企业源头防控、依法排污的责任。利用生态环境大数据平台统一企业环境管理信息，督促企业主动开展排污许可、监督性监测、在线监测、环境违法、企业生态环境信用评价、环境保护税等环境信息强制性披露，严格落实企业源头防控、依法排污的责任。</w:t>
      </w:r>
    </w:p>
    <w:p>
      <w:pPr>
        <w:ind w:firstLine="602" w:firstLineChars="200"/>
      </w:pPr>
      <w:r>
        <w:rPr>
          <w:rFonts w:hint="eastAsia"/>
          <w:b/>
          <w:bCs/>
        </w:rPr>
        <w:t>健全环境治理信用管理体系。</w:t>
      </w:r>
      <w:r>
        <w:rPr>
          <w:rFonts w:hint="eastAsia"/>
        </w:rPr>
        <w:t>健全企业环保信用体系，不断扩大参评企业覆盖面，强化企业“三同时”、自行监测、违法处罚等环境管理信息数据的采集、整理，完善信息公开制度。完善环评、验收、清洁生产等服务咨询机构及其从业人员、专家诚信档案数据库。建立和完善生态环境信用信息系统，提高监管的规范化、精准化和智能化水平。构建企业环境行为信用信息共享机制，加强与银行、证券、保险、商务、市场监管、工信等部门的联动，发挥环保守信联合激励和失信联合惩戒机制，确保“一处违法、处处受限”。严格落实上市公司和发债企业强制性环境治理信息披露制度。</w:t>
      </w:r>
    </w:p>
    <w:p>
      <w:pPr>
        <w:ind w:firstLine="602" w:firstLineChars="200"/>
      </w:pPr>
      <w:r>
        <w:rPr>
          <w:rFonts w:hint="eastAsia"/>
          <w:b/>
          <w:bCs/>
        </w:rPr>
        <w:t>加强生态环境保护“放管服”。</w:t>
      </w:r>
      <w:r>
        <w:rPr>
          <w:rFonts w:hint="eastAsia"/>
        </w:rPr>
        <w:t>在上级部门管理要求下，优化分级审批意见。强化对重大基础设施、节能降碳、绿色环保等战略性新兴产业等项目的环评服务，提升管理服务效能。加强对重点地区污染防治攻坚督导帮扶和技术指导。深化对企业的污染防治技术服务。推进环评审批和监督执法“两个正面清单”制度化、规范化,加强 “三线一单”、区域规划环评宏观指导，优化建设项目环评分级分类管理。</w:t>
      </w:r>
    </w:p>
    <w:p>
      <w:pPr>
        <w:pStyle w:val="4"/>
      </w:pPr>
      <w:bookmarkStart w:id="47" w:name="_Toc123548313"/>
      <w:r>
        <w:rPr>
          <w:rFonts w:hint="eastAsia"/>
        </w:rPr>
        <w:t xml:space="preserve">第二节 </w:t>
      </w:r>
      <w:r>
        <w:t xml:space="preserve"> </w:t>
      </w:r>
      <w:r>
        <w:rPr>
          <w:rFonts w:hint="eastAsia"/>
        </w:rPr>
        <w:t>完善生态环境制度建设</w:t>
      </w:r>
      <w:bookmarkEnd w:id="47"/>
    </w:p>
    <w:p>
      <w:pPr>
        <w:ind w:firstLine="602" w:firstLineChars="200"/>
      </w:pPr>
      <w:r>
        <w:rPr>
          <w:rFonts w:hint="eastAsia"/>
          <w:b/>
          <w:bCs/>
        </w:rPr>
        <w:t>落实生态环境保护督察。</w:t>
      </w:r>
      <w:r>
        <w:rPr>
          <w:rFonts w:hint="eastAsia"/>
        </w:rPr>
        <w:t>配合做好中央和自治区生态环境保护督察工作，把反馈问题整改作为重大政治任务，抓住重点领域和关键环节，全面解决突出问题，补齐短板，确保整改工作取得扎实有效成果</w:t>
      </w:r>
      <w:r>
        <w:rPr>
          <w:rStyle w:val="15"/>
          <w:rFonts w:hint="eastAsia" w:cstheme="minorBidi"/>
          <w:kern w:val="2"/>
        </w:rPr>
        <w:t>。</w:t>
      </w:r>
    </w:p>
    <w:p>
      <w:pPr>
        <w:ind w:firstLine="602" w:firstLineChars="200"/>
      </w:pPr>
      <w:r>
        <w:rPr>
          <w:rFonts w:hint="eastAsia"/>
          <w:b/>
          <w:bCs/>
        </w:rPr>
        <w:t>全面贯彻排污许可管理制度。</w:t>
      </w:r>
      <w:r>
        <w:rPr>
          <w:rFonts w:hint="eastAsia"/>
        </w:rPr>
        <w:t>贯彻落实排污许可管理条例和相关政策要求，强化排污许可管理，全面实现固定污染源排污许可全覆盖，加快建立以排污许可为核心的固定污染源环境管理制度体系，进一步强化排污许可的“一证式”管理。加强企业排污行为监督检查，打击和遏制无证排污、不按证排污等违法行为，切实提高排污许可证技术文件质量，提升排污许可业务监管能力，推进审查审批与行政执法衔接，推动监管、监测、执法有效联动、闭环管理，提高执法效能和依法行政水平，增强监管合力，营造自觉守法、违法必究的良好氛围。加强排污许可与环评管理工作协调联动，确保环评源头预防和排污许可核心制度效力的发挥。</w:t>
      </w:r>
    </w:p>
    <w:p>
      <w:pPr>
        <w:ind w:firstLine="602" w:firstLineChars="200"/>
      </w:pPr>
      <w:r>
        <w:rPr>
          <w:rFonts w:hint="eastAsia"/>
          <w:b/>
          <w:bCs/>
        </w:rPr>
        <w:t>深化排污权交易改革。</w:t>
      </w:r>
      <w:r>
        <w:rPr>
          <w:rFonts w:hint="eastAsia"/>
        </w:rPr>
        <w:t>深度融入自治区排污权交易体系，充分发挥市场在环境资源配制中的作用，推进企业排污权资源化，提高企业减排的积极性。</w:t>
      </w:r>
    </w:p>
    <w:p>
      <w:pPr>
        <w:ind w:firstLine="602" w:firstLineChars="200"/>
      </w:pPr>
      <w:r>
        <w:rPr>
          <w:rFonts w:hint="eastAsia"/>
          <w:b/>
          <w:bCs/>
        </w:rPr>
        <w:t>健全生态保护补偿机制。</w:t>
      </w:r>
      <w:r>
        <w:rPr>
          <w:rFonts w:hint="eastAsia"/>
        </w:rPr>
        <w:t>积极向国家、自治区、呼伦贝尔市争取生态补偿、转移支付、生态文明示范创建、温室气体减排等的资金支持，争取列入国家生态补偿综合试点。系统评估全市生态系统服务价值增值情况，建立政府与社会资本合作的生态补偿模式。积极创建绿色金融改革创新试点，争取设立“中国北方生态安全屏障保护基金”。</w:t>
      </w:r>
    </w:p>
    <w:p>
      <w:pPr>
        <w:ind w:firstLine="602" w:firstLineChars="200"/>
      </w:pPr>
      <w:r>
        <w:rPr>
          <w:rFonts w:hint="eastAsia"/>
          <w:b/>
          <w:bCs/>
        </w:rPr>
        <w:t>落实生态环境损害赔偿制度。</w:t>
      </w:r>
      <w:r>
        <w:rPr>
          <w:rFonts w:hint="eastAsia"/>
        </w:rPr>
        <w:t>落实生态环境损害赔偿制度，加强案例线索筛查、重大案件追踪办理和修复效果评估。提升生态环境损害赔偿司法鉴定、评估评价、生态修复等专业化能力。推进行政处罚与生态环境损害赔偿有效衔接，进一步解决生态环境损害只罚不赔、违法成本低的问题。加强生态环境损害赔偿制度与检察公益诉讼衔接，建立线索双移送机制，强化与检察机关的协作配合与相互支持，形成生态环境保护合力。探索生态环境损害惩罚性赔偿机制，倒逼企业严格履行环境保护责任。</w:t>
      </w:r>
    </w:p>
    <w:p>
      <w:pPr>
        <w:pStyle w:val="4"/>
      </w:pPr>
      <w:bookmarkStart w:id="48" w:name="_Toc123548314"/>
      <w:r>
        <w:rPr>
          <w:rFonts w:hint="eastAsia"/>
        </w:rPr>
        <w:t xml:space="preserve">第三节 </w:t>
      </w:r>
      <w:r>
        <w:t xml:space="preserve"> </w:t>
      </w:r>
      <w:r>
        <w:rPr>
          <w:rFonts w:hint="eastAsia"/>
        </w:rPr>
        <w:t>推进生态环境监测体系建设</w:t>
      </w:r>
      <w:bookmarkEnd w:id="48"/>
    </w:p>
    <w:p>
      <w:pPr>
        <w:ind w:firstLine="602" w:firstLineChars="200"/>
      </w:pPr>
      <w:r>
        <w:rPr>
          <w:rFonts w:hint="eastAsia"/>
          <w:b/>
          <w:bCs/>
        </w:rPr>
        <w:t>加强生态环境监测能力建设。</w:t>
      </w:r>
      <w:r>
        <w:rPr>
          <w:rFonts w:hint="eastAsia"/>
        </w:rPr>
        <w:t>以服务地方事权监测和执法监测为目的，探索整合现有监测力量，统筹区域生态环境监测工作，推动实现区域生态环境监测一体化发展。结合区域特点，因地制宜推动市区监测中心标准化能力建设，能够有效开展水、气、噪声、辐射等监测工作及污染源执法监测工作，为地方环境管理提供及时准确的数据支撑。逐步推进应急监测能力建设，确保应监测人员、仪器装备、经费保障等满足监测需要，形成污染事故应急监测能力。</w:t>
      </w:r>
    </w:p>
    <w:p>
      <w:pPr>
        <w:ind w:firstLine="602" w:firstLineChars="200"/>
      </w:pPr>
      <w:r>
        <w:rPr>
          <w:rFonts w:hint="eastAsia"/>
          <w:b/>
          <w:bCs/>
        </w:rPr>
        <w:t>完善环境质量监测网络。</w:t>
      </w:r>
      <w:r>
        <w:rPr>
          <w:rFonts w:hint="eastAsia"/>
        </w:rPr>
        <w:t>按照事权划分，进一步完善全市的环境质量监测网络。完善土壤污染重点监管单位、垃圾填埋场、固废处置场地等周边土壤和地下水环境监测；健全声环境监测体系，推进市区所在地开展声环境质量常规监测，市区分步实施功能区噪声自动监测。</w:t>
      </w:r>
    </w:p>
    <w:p>
      <w:pPr>
        <w:ind w:firstLine="602" w:firstLineChars="200"/>
      </w:pPr>
      <w:r>
        <w:rPr>
          <w:rFonts w:hint="eastAsia"/>
          <w:b/>
          <w:bCs/>
        </w:rPr>
        <w:t>健全污染源监测体系。</w:t>
      </w:r>
      <w:r>
        <w:rPr>
          <w:rFonts w:hint="eastAsia"/>
        </w:rPr>
        <w:t>围绕排污许可核心制度，按照源头控制，标本兼治的要求，坚持以固定污染源全面监测为基础，压实排污单位自行监测主体责任，逐步建立影响大气、水、土壤等各环境要素的固定污染源、移动源、入河排污口的污染源监测体系。推进VOCs、总磷、总氮、重金属等重点排污单位安装自动在线监测系统，规范排污单位和工业园区污染源自行监测监控，通过物联网、大数据等技术手段，实时联网监控重点污染源污染物排放情况。按照“双随机、一公开”模式开展执法监测，加强污染源执法监测与监管协同工作，形成权责明确、衔接有序、协作有力的工作机制。在对入河排污口全面排查基础上，完善入河排污口监测体系，建立入河排污口名录，规范入河排污口监测。</w:t>
      </w:r>
    </w:p>
    <w:p>
      <w:pPr>
        <w:ind w:firstLine="602" w:firstLineChars="200"/>
      </w:pPr>
      <w:r>
        <w:rPr>
          <w:rFonts w:hint="eastAsia"/>
          <w:b/>
          <w:bCs/>
        </w:rPr>
        <w:t>强化应急监测。</w:t>
      </w:r>
      <w:r>
        <w:rPr>
          <w:rFonts w:hint="eastAsia"/>
        </w:rPr>
        <w:t>建立属地管理、因地制宜、统一指挥、分级响应、上下联动、平战结合、科学应对的应急监测体系。提升跨地区应急监测支援能力，不断提升突发环境事件应急预案和提升环境应急监测水平。加强应急监测装备配置，健全与国家环境应急监测联动响应机制，建立社会化应急监测参与机制，实现环境应急监测的统一指挥协调、应急监测资源的统一调动调配、监测数据的统一分析管理。推进应急监测自动化、可移动的先进监测设备建设，搭建监测监控大数据平台、网络预警监测平台，提升应急智能化水平。建立训练有素的应急监测队伍，定期开展应急监测演练，增强实战能力。完善环境应急监测专家库，探索建立社会化应急监测参与机制。建立健全应急监测装备体系，明确应急监测方案、掌握辖区内风险隐患点，确保能在最短时间内应对突发事件。</w:t>
      </w:r>
    </w:p>
    <w:p>
      <w:pPr>
        <w:pStyle w:val="4"/>
      </w:pPr>
      <w:bookmarkStart w:id="49" w:name="_Toc123548315"/>
      <w:r>
        <w:rPr>
          <w:rFonts w:hint="eastAsia"/>
        </w:rPr>
        <w:t xml:space="preserve">第四节 </w:t>
      </w:r>
      <w:r>
        <w:t xml:space="preserve"> </w:t>
      </w:r>
      <w:r>
        <w:rPr>
          <w:rFonts w:hint="eastAsia"/>
        </w:rPr>
        <w:t>开展生态环境大数据建设</w:t>
      </w:r>
      <w:bookmarkEnd w:id="49"/>
    </w:p>
    <w:p>
      <w:pPr>
        <w:ind w:firstLine="600" w:firstLineChars="200"/>
      </w:pPr>
      <w:r>
        <w:rPr>
          <w:rFonts w:hint="eastAsia"/>
        </w:rPr>
        <w:t>利用大数据、云服务、互联网+等现代信息技术手段，基于环保专网、互联网，整合各类生态环境保护信息，实现系统整合、数据汇聚、资源共享，提升满洲里市生态环境监管信息化水平。全面推广线上线下相融合的生态环境政务服务模式，提高办事服务效率。建立全景式生态环境形势研判模式，强化对大气、水、土壤、生态、核与辐射等多种环境要素及各类污染源的全面感知和实时监控，深化生态环境大数据分析及创新应用。</w:t>
      </w:r>
    </w:p>
    <w:p>
      <w:pPr>
        <w:pStyle w:val="4"/>
      </w:pPr>
      <w:bookmarkStart w:id="50" w:name="_Toc123548316"/>
      <w:r>
        <w:rPr>
          <w:rFonts w:hint="eastAsia"/>
        </w:rPr>
        <w:t xml:space="preserve">第五节 </w:t>
      </w:r>
      <w:r>
        <w:t xml:space="preserve"> </w:t>
      </w:r>
      <w:r>
        <w:rPr>
          <w:rFonts w:hint="eastAsia"/>
        </w:rPr>
        <w:t>完善生态环境执法体系建设</w:t>
      </w:r>
      <w:bookmarkEnd w:id="50"/>
    </w:p>
    <w:p>
      <w:pPr>
        <w:ind w:firstLine="602" w:firstLineChars="200"/>
      </w:pPr>
      <w:r>
        <w:rPr>
          <w:rFonts w:hint="eastAsia"/>
          <w:b/>
          <w:bCs/>
        </w:rPr>
        <w:t>完善落实生态环境执法制度。</w:t>
      </w:r>
      <w:r>
        <w:rPr>
          <w:rFonts w:hint="eastAsia"/>
        </w:rPr>
        <w:t>完成生态环境综合行政执法体制改革，健全生态环境部门与自然资源、水利、林草、农牧等部门间联合执法衔接机制，划分责任边界，组织开展区域交叉执法核查。认真执行生态环境保护综合行政执法事项目录，健全执法责任制，优化执法方式，提高执法效能，坚决纠正不作为、乱作为问题，依法保障各类主体的环境权益，严禁“一刀切”。实行“双随机、一公开”常态化监管，注重“柔性执法”，认真落实生态环境监督执法正面清单管理制度及优化营商环境政策措施。全面推进行政执法公示制度、执法全过程记录制度、重大执法决定法制审核制度，规范适用环境行政处罚自由裁量权。认真落实《内蒙古自治区生态环境系统综合行政执法机构及其执法人员履职尽责容错纠错实施办法（试行）》，做到职责法定、尽职免责、失职追责、减少失误、有错必纠、公平公正。继续加强行政执法与刑事司法部门联动机制，保持环境执法高压态势。落实“谁执法、谁普法”的要求，定期组织开展监督帮扶，“送法入企”，做到“精准把脉、辨证施治”。</w:t>
      </w:r>
    </w:p>
    <w:p>
      <w:pPr>
        <w:ind w:firstLine="602" w:firstLineChars="200"/>
      </w:pPr>
      <w:r>
        <w:rPr>
          <w:rFonts w:hint="eastAsia"/>
          <w:b/>
          <w:bCs/>
        </w:rPr>
        <w:t>创新生态环境执法模式。</w:t>
      </w:r>
      <w:r>
        <w:rPr>
          <w:rFonts w:hint="eastAsia"/>
        </w:rPr>
        <w:t>加大生态环境执法力度，补齐应对气候变化、生态监管、核与辐射等领域执法能力短板。推广“互联网+统一指挥+综合执法”非现场监管模式，大力拓展非现场监管的手段及应用，以自动监控为主，推行视频监控和环保设施用水、用电监控等物联网监管手段，积极利用无人机等科技手段，推进大数据采集分析、违法风险监测预警等在环境执法中应用。强化综合行政执法职能，加强监管执法能力、执法队伍建设，配备统一服装、调查取证、移动执法、数据分析、执法用车等装备。</w:t>
      </w:r>
    </w:p>
    <w:p>
      <w:pPr>
        <w:pStyle w:val="3"/>
        <w:spacing w:before="408" w:after="204"/>
      </w:pPr>
      <w:bookmarkStart w:id="51" w:name="_Toc123548317"/>
      <w:r>
        <w:rPr>
          <w:rFonts w:hint="eastAsia"/>
        </w:rPr>
        <w:t xml:space="preserve">第十一章 </w:t>
      </w:r>
      <w:r>
        <w:t xml:space="preserve"> </w:t>
      </w:r>
      <w:r>
        <w:rPr>
          <w:rFonts w:hint="eastAsia"/>
        </w:rPr>
        <w:t>强化规划保障措施，确保规划顺利实施</w:t>
      </w:r>
      <w:bookmarkEnd w:id="51"/>
    </w:p>
    <w:p>
      <w:pPr>
        <w:pStyle w:val="4"/>
      </w:pPr>
      <w:bookmarkStart w:id="52" w:name="_Toc123548318"/>
      <w:r>
        <w:rPr>
          <w:rFonts w:hint="eastAsia"/>
        </w:rPr>
        <w:t xml:space="preserve">第一节 </w:t>
      </w:r>
      <w:r>
        <w:t xml:space="preserve"> </w:t>
      </w:r>
      <w:r>
        <w:rPr>
          <w:rFonts w:hint="eastAsia"/>
        </w:rPr>
        <w:t>加强组织领导</w:t>
      </w:r>
      <w:bookmarkEnd w:id="52"/>
    </w:p>
    <w:p>
      <w:pPr>
        <w:ind w:firstLine="600" w:firstLineChars="200"/>
      </w:pPr>
      <w:r>
        <w:rPr>
          <w:rFonts w:hint="eastAsia"/>
        </w:rPr>
        <w:t>把生态环境保护摆在工作突出地位，坚决落实生态文明建设和生态环境保护责任。从实际出发，研究细化分阶段、分年度、分区域的工作目标和重点任务，制定具体措施，明确时间表、路线图，推动各项政策措施落地见效，切实解决突出问题。进一步完善生态文明建设综合考核评价指标体系，凸显生态屏障考核指标及权重，强化指标约束，实行差别化的考核制度。各有关部门强化沟通协作，进一步理顺工作管理体制，强化统筹协调和综合管理。</w:t>
      </w:r>
    </w:p>
    <w:p>
      <w:pPr>
        <w:pStyle w:val="4"/>
      </w:pPr>
      <w:bookmarkStart w:id="53" w:name="_Toc123548319"/>
      <w:r>
        <w:rPr>
          <w:rFonts w:hint="eastAsia"/>
        </w:rPr>
        <w:t xml:space="preserve">第二节 </w:t>
      </w:r>
      <w:r>
        <w:t xml:space="preserve"> </w:t>
      </w:r>
      <w:r>
        <w:rPr>
          <w:rFonts w:hint="eastAsia"/>
        </w:rPr>
        <w:t>落实资金保障</w:t>
      </w:r>
      <w:bookmarkEnd w:id="53"/>
    </w:p>
    <w:p>
      <w:pPr>
        <w:ind w:firstLine="600" w:firstLineChars="200"/>
        <w:jc w:val="left"/>
      </w:pPr>
      <w:bookmarkStart w:id="54" w:name="_Toc123548320"/>
      <w:r>
        <w:rPr>
          <w:rFonts w:hint="eastAsia"/>
        </w:rPr>
        <w:t>把生态环境资金投入作为基础性、战略性投入予以保障，持续加大对生态环境保护的财政投入力度。积极争取国家、自治区资金支持力度，用于河湖水环境治理、污水治理、垃圾处理、清洁能源等相关的公益事业。充分发挥财政资金的引导和带动作用，建立政府引导、市场运作、社会参与的多元化投融资机制，引导更多的社会资本主动参与生态环境保护建设。</w:t>
      </w:r>
      <w:r>
        <w:rPr>
          <w:rFonts w:ascii="仿宋_GB2312" w:hAnsi="仿宋_GB2312" w:cs="仿宋_GB2312"/>
          <w:sz w:val="31"/>
          <w:szCs w:val="31"/>
          <w:lang w:bidi="ar"/>
        </w:rPr>
        <w:t xml:space="preserve">创新绿色投融资机制，特别是在污染防治跟踪监督、环保第三方评估和第三方运营等方面，大力推行 </w:t>
      </w:r>
      <w:r>
        <w:rPr>
          <w:rFonts w:eastAsia="宋体" w:cs="Times New Roman"/>
          <w:sz w:val="31"/>
          <w:szCs w:val="31"/>
          <w:lang w:bidi="ar"/>
        </w:rPr>
        <w:t xml:space="preserve">PPP </w:t>
      </w:r>
      <w:r>
        <w:rPr>
          <w:rFonts w:ascii="仿宋_GB2312" w:hAnsi="仿宋_GB2312" w:cs="仿宋_GB2312"/>
          <w:sz w:val="31"/>
          <w:szCs w:val="31"/>
          <w:lang w:bidi="ar"/>
        </w:rPr>
        <w:t>和政府购买服务模式，进一步放大财政资金效益，重点支持生态环境治理、环保产业类项目投入。</w:t>
      </w:r>
    </w:p>
    <w:p>
      <w:pPr>
        <w:pStyle w:val="4"/>
      </w:pPr>
      <w:r>
        <w:rPr>
          <w:rFonts w:hint="eastAsia"/>
        </w:rPr>
        <w:t xml:space="preserve">第三节 </w:t>
      </w:r>
      <w:r>
        <w:t xml:space="preserve"> </w:t>
      </w:r>
      <w:r>
        <w:rPr>
          <w:rFonts w:hint="eastAsia"/>
        </w:rPr>
        <w:t>强化监管考核</w:t>
      </w:r>
      <w:bookmarkEnd w:id="54"/>
    </w:p>
    <w:p>
      <w:pPr>
        <w:ind w:firstLine="600" w:firstLineChars="200"/>
      </w:pPr>
      <w:r>
        <w:rPr>
          <w:rFonts w:hint="eastAsia"/>
        </w:rPr>
        <w:t>建立长效管理机制，制定考核与问责等工作制度，强化各级生态环境监管人员、设备和经费等保障，确保生态环境监管见实见效。完善生态环境保护目标责任考核体系，加强生态环境保护、节能减污降碳约束性指标管理，突出中央生态环境保护督察反馈问题整改、污染防治攻坚成效、生态环境质量改善、公众满意程度等指标的考核，加强考核结果应用，将考核结果作为各级领导班子和领导干部任用和奖惩、专项资金安排的重要依据。</w:t>
      </w:r>
    </w:p>
    <w:p>
      <w:pPr>
        <w:pStyle w:val="4"/>
      </w:pPr>
      <w:bookmarkStart w:id="55" w:name="_Toc123548321"/>
      <w:r>
        <w:rPr>
          <w:rFonts w:hint="eastAsia"/>
        </w:rPr>
        <w:t xml:space="preserve">第四节 </w:t>
      </w:r>
      <w:r>
        <w:t xml:space="preserve"> </w:t>
      </w:r>
      <w:r>
        <w:rPr>
          <w:rFonts w:hint="eastAsia"/>
        </w:rPr>
        <w:t>强化人才支撑</w:t>
      </w:r>
      <w:bookmarkEnd w:id="55"/>
    </w:p>
    <w:p>
      <w:pPr>
        <w:ind w:firstLine="600" w:firstLineChars="200"/>
      </w:pPr>
      <w:r>
        <w:rPr>
          <w:rFonts w:hint="eastAsia"/>
        </w:rPr>
        <w:t>强化生态环境领域人才队伍建设，不断扩大人才队伍数量，提高人才队伍素质，优化调整人才队伍结构，加强高端人才开发培养，加大人才引进力度，实施人才体制机制创新，提升人才发展的基础保障能力。推进人才工作理念升级、方法升级和思路升级，统筹谋划人才工作，按需引用人才，盘活现有人才资源，做到人尽其用，切实提升组织人才队伍建设。</w:t>
      </w:r>
    </w:p>
    <w:p>
      <w:pPr>
        <w:pStyle w:val="4"/>
      </w:pPr>
      <w:bookmarkStart w:id="56" w:name="_Toc123548322"/>
      <w:r>
        <w:rPr>
          <w:rFonts w:hint="eastAsia"/>
        </w:rPr>
        <w:t xml:space="preserve">第五节 </w:t>
      </w:r>
      <w:r>
        <w:t xml:space="preserve"> </w:t>
      </w:r>
      <w:r>
        <w:rPr>
          <w:rFonts w:hint="eastAsia"/>
        </w:rPr>
        <w:t>开展评估督导</w:t>
      </w:r>
      <w:bookmarkEnd w:id="56"/>
    </w:p>
    <w:p>
      <w:pPr>
        <w:ind w:firstLine="600" w:firstLineChars="200"/>
      </w:pPr>
      <w:r>
        <w:rPr>
          <w:rFonts w:hint="eastAsia"/>
        </w:rPr>
        <w:t>组织规划实施评估，加大力度督促指导市区、各有关部门协调解决存在的问题，采取有效措施切实加快推进项目建设和资金使用，确保按时保质完成各项工作任务。2023年和2025年底对规划执行情况进行中期评估和终期考核。</w:t>
      </w:r>
    </w:p>
    <w:p>
      <w:pPr>
        <w:pStyle w:val="4"/>
      </w:pPr>
      <w:bookmarkStart w:id="57" w:name="_Toc123548323"/>
      <w:r>
        <w:rPr>
          <w:rFonts w:hint="eastAsia"/>
        </w:rPr>
        <w:t xml:space="preserve">第六节 </w:t>
      </w:r>
      <w:r>
        <w:t xml:space="preserve"> </w:t>
      </w:r>
      <w:r>
        <w:rPr>
          <w:rFonts w:hint="eastAsia"/>
        </w:rPr>
        <w:t>加强社会监督</w:t>
      </w:r>
      <w:bookmarkEnd w:id="57"/>
    </w:p>
    <w:p>
      <w:pPr>
        <w:ind w:firstLine="600" w:firstLineChars="200"/>
      </w:pPr>
      <w:r>
        <w:rPr>
          <w:rFonts w:hint="eastAsia"/>
        </w:rPr>
        <w:t>推动网上信访，统筹来电、来访、“12345”热线电话、微信微博、网上投诉、电子邮件以及其他渠道受理的信访投诉问题，梳理信访投诉和问题线索，实现信访投诉信息“一网登记、一网转办、一网处理、一网回复”。认真做好舆情应对和信访案件查处工作，及时化解环境矛盾和纠纷，切实维护人民群众的环境权益。积极推动自治区级及以下生态环境部门的信访机构与执法监管机构整合，赋予综合协调职责，实现统一交办、统一分析研判、统一监督管理。</w:t>
      </w:r>
    </w:p>
    <w:p>
      <w:pPr>
        <w:ind w:firstLine="600" w:firstLineChars="200"/>
      </w:pPr>
    </w:p>
    <w:p>
      <w:pPr>
        <w:ind w:firstLine="600" w:firstLineChars="200"/>
      </w:pPr>
    </w:p>
    <w:p>
      <w:pPr>
        <w:ind w:firstLine="600" w:firstLineChars="200"/>
      </w:pPr>
    </w:p>
    <w:p>
      <w:pPr>
        <w:ind w:firstLine="600" w:firstLineChars="200"/>
      </w:pPr>
    </w:p>
    <w:p>
      <w:pPr>
        <w:ind w:firstLine="600" w:firstLineChars="200"/>
      </w:pPr>
    </w:p>
    <w:p>
      <w:pPr>
        <w:ind w:firstLine="600" w:firstLineChars="200"/>
      </w:pPr>
    </w:p>
    <w:sectPr>
      <w:footerReference r:id="rId5" w:type="default"/>
      <w:pgSz w:w="11906" w:h="16838"/>
      <w:pgMar w:top="1440" w:right="1797" w:bottom="1440" w:left="1797" w:header="851" w:footer="992" w:gutter="0"/>
      <w:pgNumType w:start="1"/>
      <w:cols w:space="425" w:num="1"/>
      <w:docGrid w:type="lines" w:linePitch="408"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微软雅黑">
    <w:panose1 w:val="020B0503020204020204"/>
    <w:charset w:val="86"/>
    <w:family w:val="swiss"/>
    <w:pitch w:val="default"/>
    <w:sig w:usb0="80000287" w:usb1="280F3C52" w:usb2="00000016" w:usb3="00000000" w:csb0="0004001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81473848"/>
    </w:sdtPr>
    <w:sdtEndPr>
      <w:rPr>
        <w:rFonts w:eastAsia="宋体" w:cs="Times New Roman"/>
        <w:sz w:val="24"/>
        <w:szCs w:val="24"/>
      </w:rPr>
    </w:sdtEndPr>
    <w:sdtContent>
      <w:p>
        <w:pPr>
          <w:pStyle w:val="7"/>
          <w:jc w:val="center"/>
          <w:rPr>
            <w:rFonts w:eastAsia="宋体" w:cs="Times New Roman"/>
            <w:sz w:val="24"/>
            <w:szCs w:val="24"/>
          </w:rPr>
        </w:pPr>
        <w:r>
          <w:rPr>
            <w:rFonts w:eastAsia="宋体" w:cs="Times New Roman"/>
            <w:sz w:val="24"/>
            <w:szCs w:val="24"/>
          </w:rPr>
          <w:t>第</w:t>
        </w:r>
        <w:r>
          <w:rPr>
            <w:rFonts w:eastAsia="宋体" w:cs="Times New Roman"/>
            <w:sz w:val="24"/>
            <w:szCs w:val="24"/>
          </w:rPr>
          <w:fldChar w:fldCharType="begin"/>
        </w:r>
        <w:r>
          <w:rPr>
            <w:rFonts w:eastAsia="宋体" w:cs="Times New Roman"/>
            <w:sz w:val="24"/>
            <w:szCs w:val="24"/>
          </w:rPr>
          <w:instrText xml:space="preserve">PAGE   \* MERGEFORMAT</w:instrText>
        </w:r>
        <w:r>
          <w:rPr>
            <w:rFonts w:eastAsia="宋体" w:cs="Times New Roman"/>
            <w:sz w:val="24"/>
            <w:szCs w:val="24"/>
          </w:rPr>
          <w:fldChar w:fldCharType="separate"/>
        </w:r>
        <w:r>
          <w:rPr>
            <w:rFonts w:eastAsia="宋体" w:cs="Times New Roman"/>
            <w:sz w:val="24"/>
            <w:szCs w:val="24"/>
            <w:lang w:val="zh-CN"/>
          </w:rPr>
          <w:t>36</w:t>
        </w:r>
        <w:r>
          <w:rPr>
            <w:rFonts w:eastAsia="宋体" w:cs="Times New Roman"/>
            <w:sz w:val="24"/>
            <w:szCs w:val="24"/>
          </w:rPr>
          <w:fldChar w:fldCharType="end"/>
        </w:r>
        <w:r>
          <w:rPr>
            <w:rFonts w:eastAsia="宋体" w:cs="Times New Roman"/>
            <w:sz w:val="24"/>
            <w:szCs w:val="24"/>
          </w:rPr>
          <w:t>页</w: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50"/>
  <w:drawingGridVerticalSpacing w:val="204"/>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JlYzJhMmZjNjcxN2FjMWE0MGVlNmVlNDBjNDdjMmUifQ=="/>
  </w:docVars>
  <w:rsids>
    <w:rsidRoot w:val="00903049"/>
    <w:rsid w:val="00006B0E"/>
    <w:rsid w:val="000178EE"/>
    <w:rsid w:val="00025C74"/>
    <w:rsid w:val="000302E7"/>
    <w:rsid w:val="00031E3F"/>
    <w:rsid w:val="0003468B"/>
    <w:rsid w:val="00073713"/>
    <w:rsid w:val="000B6573"/>
    <w:rsid w:val="000E2698"/>
    <w:rsid w:val="00123EE3"/>
    <w:rsid w:val="001365CC"/>
    <w:rsid w:val="00136639"/>
    <w:rsid w:val="00161412"/>
    <w:rsid w:val="00187EF9"/>
    <w:rsid w:val="00194530"/>
    <w:rsid w:val="00197F12"/>
    <w:rsid w:val="001B7CB3"/>
    <w:rsid w:val="001C4E56"/>
    <w:rsid w:val="001C6C7B"/>
    <w:rsid w:val="001E053A"/>
    <w:rsid w:val="001E3FC2"/>
    <w:rsid w:val="001F0D09"/>
    <w:rsid w:val="001F3FF1"/>
    <w:rsid w:val="00215704"/>
    <w:rsid w:val="002238DB"/>
    <w:rsid w:val="002450DC"/>
    <w:rsid w:val="00253DBB"/>
    <w:rsid w:val="00257861"/>
    <w:rsid w:val="0027438F"/>
    <w:rsid w:val="00275BF8"/>
    <w:rsid w:val="00282233"/>
    <w:rsid w:val="00290552"/>
    <w:rsid w:val="002B1B94"/>
    <w:rsid w:val="002B3E0C"/>
    <w:rsid w:val="002C720F"/>
    <w:rsid w:val="002F0057"/>
    <w:rsid w:val="00300CAF"/>
    <w:rsid w:val="00305C47"/>
    <w:rsid w:val="00316470"/>
    <w:rsid w:val="00321A1A"/>
    <w:rsid w:val="003229DB"/>
    <w:rsid w:val="00340C7D"/>
    <w:rsid w:val="00343B86"/>
    <w:rsid w:val="00344713"/>
    <w:rsid w:val="00361758"/>
    <w:rsid w:val="00361C30"/>
    <w:rsid w:val="00363782"/>
    <w:rsid w:val="00364FA2"/>
    <w:rsid w:val="00376BEB"/>
    <w:rsid w:val="003844D9"/>
    <w:rsid w:val="00390597"/>
    <w:rsid w:val="003A5337"/>
    <w:rsid w:val="003B79A4"/>
    <w:rsid w:val="003D7C4C"/>
    <w:rsid w:val="003F2C1F"/>
    <w:rsid w:val="003F366F"/>
    <w:rsid w:val="00405133"/>
    <w:rsid w:val="004217E5"/>
    <w:rsid w:val="004263EC"/>
    <w:rsid w:val="00427A12"/>
    <w:rsid w:val="004531BF"/>
    <w:rsid w:val="0047002E"/>
    <w:rsid w:val="004877C6"/>
    <w:rsid w:val="00493EF8"/>
    <w:rsid w:val="004951AE"/>
    <w:rsid w:val="00495E14"/>
    <w:rsid w:val="004A1218"/>
    <w:rsid w:val="004B066B"/>
    <w:rsid w:val="004B0698"/>
    <w:rsid w:val="004B61E1"/>
    <w:rsid w:val="004B64D0"/>
    <w:rsid w:val="004B661F"/>
    <w:rsid w:val="004C372E"/>
    <w:rsid w:val="004D28BE"/>
    <w:rsid w:val="004D4DA8"/>
    <w:rsid w:val="004E0491"/>
    <w:rsid w:val="004E4965"/>
    <w:rsid w:val="00510562"/>
    <w:rsid w:val="00512753"/>
    <w:rsid w:val="00546C5F"/>
    <w:rsid w:val="005663C6"/>
    <w:rsid w:val="00593C51"/>
    <w:rsid w:val="00596C52"/>
    <w:rsid w:val="00597506"/>
    <w:rsid w:val="005A390F"/>
    <w:rsid w:val="005A730A"/>
    <w:rsid w:val="005B40E9"/>
    <w:rsid w:val="005B55A3"/>
    <w:rsid w:val="005B6BF6"/>
    <w:rsid w:val="005C08D7"/>
    <w:rsid w:val="005C74E8"/>
    <w:rsid w:val="005D5173"/>
    <w:rsid w:val="005E010F"/>
    <w:rsid w:val="005E41F1"/>
    <w:rsid w:val="005E4C20"/>
    <w:rsid w:val="006010BD"/>
    <w:rsid w:val="00603A06"/>
    <w:rsid w:val="006160AE"/>
    <w:rsid w:val="00626E25"/>
    <w:rsid w:val="00632AAE"/>
    <w:rsid w:val="00647E08"/>
    <w:rsid w:val="00660AEC"/>
    <w:rsid w:val="00670C53"/>
    <w:rsid w:val="00670D99"/>
    <w:rsid w:val="006725D9"/>
    <w:rsid w:val="00687BBE"/>
    <w:rsid w:val="00696578"/>
    <w:rsid w:val="006A2781"/>
    <w:rsid w:val="006A4891"/>
    <w:rsid w:val="006B168D"/>
    <w:rsid w:val="006C297C"/>
    <w:rsid w:val="006D7729"/>
    <w:rsid w:val="006E23FC"/>
    <w:rsid w:val="006F1B00"/>
    <w:rsid w:val="007023A9"/>
    <w:rsid w:val="00706CC8"/>
    <w:rsid w:val="00713179"/>
    <w:rsid w:val="007133FB"/>
    <w:rsid w:val="00731F00"/>
    <w:rsid w:val="0074415B"/>
    <w:rsid w:val="0075013F"/>
    <w:rsid w:val="00764FF7"/>
    <w:rsid w:val="007660BC"/>
    <w:rsid w:val="00777EDB"/>
    <w:rsid w:val="0079317E"/>
    <w:rsid w:val="007970E4"/>
    <w:rsid w:val="007A1830"/>
    <w:rsid w:val="007B6E45"/>
    <w:rsid w:val="007C0E49"/>
    <w:rsid w:val="007C1DC7"/>
    <w:rsid w:val="007F42AC"/>
    <w:rsid w:val="0080306A"/>
    <w:rsid w:val="00810277"/>
    <w:rsid w:val="00820071"/>
    <w:rsid w:val="00820B83"/>
    <w:rsid w:val="008334A1"/>
    <w:rsid w:val="00844135"/>
    <w:rsid w:val="00866842"/>
    <w:rsid w:val="008765FD"/>
    <w:rsid w:val="00884D18"/>
    <w:rsid w:val="008C4512"/>
    <w:rsid w:val="008C5CD4"/>
    <w:rsid w:val="008F142B"/>
    <w:rsid w:val="008F2053"/>
    <w:rsid w:val="008F57F3"/>
    <w:rsid w:val="00900CA6"/>
    <w:rsid w:val="00903049"/>
    <w:rsid w:val="00922544"/>
    <w:rsid w:val="0092554E"/>
    <w:rsid w:val="00925C62"/>
    <w:rsid w:val="00942B6E"/>
    <w:rsid w:val="00942DF7"/>
    <w:rsid w:val="0096741E"/>
    <w:rsid w:val="00973881"/>
    <w:rsid w:val="00976C0E"/>
    <w:rsid w:val="00982982"/>
    <w:rsid w:val="009870F0"/>
    <w:rsid w:val="00995EE7"/>
    <w:rsid w:val="009B7A86"/>
    <w:rsid w:val="009D60A5"/>
    <w:rsid w:val="009E0C1F"/>
    <w:rsid w:val="009F3BB1"/>
    <w:rsid w:val="009F53CF"/>
    <w:rsid w:val="00A20627"/>
    <w:rsid w:val="00A30FD3"/>
    <w:rsid w:val="00A32890"/>
    <w:rsid w:val="00A41AE8"/>
    <w:rsid w:val="00A43EF0"/>
    <w:rsid w:val="00A4546C"/>
    <w:rsid w:val="00A50D59"/>
    <w:rsid w:val="00A62C8C"/>
    <w:rsid w:val="00A64B85"/>
    <w:rsid w:val="00A82644"/>
    <w:rsid w:val="00A8417E"/>
    <w:rsid w:val="00A862BD"/>
    <w:rsid w:val="00A9261A"/>
    <w:rsid w:val="00A93BD7"/>
    <w:rsid w:val="00AA1CE6"/>
    <w:rsid w:val="00AA63F7"/>
    <w:rsid w:val="00AA6D7A"/>
    <w:rsid w:val="00AD6D69"/>
    <w:rsid w:val="00AE6636"/>
    <w:rsid w:val="00AE7DE7"/>
    <w:rsid w:val="00AF27B8"/>
    <w:rsid w:val="00AF3E4D"/>
    <w:rsid w:val="00B12F20"/>
    <w:rsid w:val="00B163C9"/>
    <w:rsid w:val="00B54DAF"/>
    <w:rsid w:val="00B57D55"/>
    <w:rsid w:val="00B646F1"/>
    <w:rsid w:val="00B90C48"/>
    <w:rsid w:val="00BA4B27"/>
    <w:rsid w:val="00BB49B4"/>
    <w:rsid w:val="00BE3701"/>
    <w:rsid w:val="00BE4959"/>
    <w:rsid w:val="00C01B02"/>
    <w:rsid w:val="00C02E40"/>
    <w:rsid w:val="00C15280"/>
    <w:rsid w:val="00C227DB"/>
    <w:rsid w:val="00C22B5B"/>
    <w:rsid w:val="00C23E1D"/>
    <w:rsid w:val="00C40DEF"/>
    <w:rsid w:val="00C43722"/>
    <w:rsid w:val="00C5601D"/>
    <w:rsid w:val="00C66912"/>
    <w:rsid w:val="00C76560"/>
    <w:rsid w:val="00C833D4"/>
    <w:rsid w:val="00CA0487"/>
    <w:rsid w:val="00CD50E0"/>
    <w:rsid w:val="00CD5C7D"/>
    <w:rsid w:val="00CF0D9E"/>
    <w:rsid w:val="00CF2140"/>
    <w:rsid w:val="00D2189B"/>
    <w:rsid w:val="00D21ACB"/>
    <w:rsid w:val="00D60850"/>
    <w:rsid w:val="00D63A97"/>
    <w:rsid w:val="00D710F6"/>
    <w:rsid w:val="00D82B89"/>
    <w:rsid w:val="00DB1A91"/>
    <w:rsid w:val="00DB2AA6"/>
    <w:rsid w:val="00DB3CC7"/>
    <w:rsid w:val="00DC09AC"/>
    <w:rsid w:val="00DC1252"/>
    <w:rsid w:val="00DC5FC0"/>
    <w:rsid w:val="00E016E7"/>
    <w:rsid w:val="00E04744"/>
    <w:rsid w:val="00E24780"/>
    <w:rsid w:val="00E36EBC"/>
    <w:rsid w:val="00E4247C"/>
    <w:rsid w:val="00E646EA"/>
    <w:rsid w:val="00E6667F"/>
    <w:rsid w:val="00E71BDD"/>
    <w:rsid w:val="00EA31CA"/>
    <w:rsid w:val="00EA437C"/>
    <w:rsid w:val="00EB09DE"/>
    <w:rsid w:val="00ED02D5"/>
    <w:rsid w:val="00EE69E7"/>
    <w:rsid w:val="00EE75A1"/>
    <w:rsid w:val="00EF5269"/>
    <w:rsid w:val="00F0022B"/>
    <w:rsid w:val="00F04B4F"/>
    <w:rsid w:val="00F1358B"/>
    <w:rsid w:val="00F16549"/>
    <w:rsid w:val="00F2287D"/>
    <w:rsid w:val="00F335FE"/>
    <w:rsid w:val="00F764B0"/>
    <w:rsid w:val="00F864B3"/>
    <w:rsid w:val="00F923FC"/>
    <w:rsid w:val="00FB000D"/>
    <w:rsid w:val="00FD1628"/>
    <w:rsid w:val="00FE6B66"/>
    <w:rsid w:val="00FF562B"/>
    <w:rsid w:val="02934E39"/>
    <w:rsid w:val="0791602D"/>
    <w:rsid w:val="096A1A8D"/>
    <w:rsid w:val="09B83EA9"/>
    <w:rsid w:val="145E6D93"/>
    <w:rsid w:val="1B840571"/>
    <w:rsid w:val="1C7321AE"/>
    <w:rsid w:val="2B6B0E4D"/>
    <w:rsid w:val="31183EBE"/>
    <w:rsid w:val="31250FA4"/>
    <w:rsid w:val="35EA3229"/>
    <w:rsid w:val="3AEB4186"/>
    <w:rsid w:val="47027EA2"/>
    <w:rsid w:val="4C640B5F"/>
    <w:rsid w:val="4E485D90"/>
    <w:rsid w:val="4EE730F8"/>
    <w:rsid w:val="50011E81"/>
    <w:rsid w:val="50B85278"/>
    <w:rsid w:val="550B3F3F"/>
    <w:rsid w:val="562A4129"/>
    <w:rsid w:val="5AB13ED3"/>
    <w:rsid w:val="5C0F09A2"/>
    <w:rsid w:val="66364518"/>
    <w:rsid w:val="66E23A88"/>
    <w:rsid w:val="6737755E"/>
    <w:rsid w:val="68303BFA"/>
    <w:rsid w:val="6C4E2EFC"/>
    <w:rsid w:val="70781B62"/>
    <w:rsid w:val="73EE01E0"/>
    <w:rsid w:val="76400BDD"/>
    <w:rsid w:val="78DE5AF2"/>
    <w:rsid w:val="79AA7058"/>
    <w:rsid w:val="7F30322F"/>
    <w:rsid w:val="7F6046F8"/>
    <w:rsid w:val="E79F75E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adjustRightInd w:val="0"/>
      <w:snapToGrid w:val="0"/>
      <w:spacing w:line="360" w:lineRule="auto"/>
      <w:jc w:val="both"/>
    </w:pPr>
    <w:rPr>
      <w:rFonts w:ascii="Times New Roman" w:hAnsi="Times New Roman" w:eastAsia="仿宋_GB2312" w:cs="宋体"/>
      <w:sz w:val="30"/>
      <w:szCs w:val="24"/>
      <w:lang w:val="en-US" w:eastAsia="zh-CN" w:bidi="ar-SA"/>
    </w:rPr>
  </w:style>
  <w:style w:type="paragraph" w:styleId="3">
    <w:name w:val="heading 1"/>
    <w:basedOn w:val="1"/>
    <w:next w:val="1"/>
    <w:link w:val="18"/>
    <w:qFormat/>
    <w:uiPriority w:val="9"/>
    <w:pPr>
      <w:keepNext/>
      <w:keepLines/>
      <w:pageBreakBefore/>
      <w:spacing w:before="100" w:beforeLines="100" w:after="50" w:afterLines="50"/>
      <w:jc w:val="center"/>
      <w:outlineLvl w:val="0"/>
    </w:pPr>
    <w:rPr>
      <w:rFonts w:eastAsia="微软雅黑"/>
      <w:b/>
      <w:bCs/>
      <w:kern w:val="44"/>
      <w:sz w:val="36"/>
      <w:szCs w:val="44"/>
    </w:rPr>
  </w:style>
  <w:style w:type="paragraph" w:styleId="4">
    <w:name w:val="heading 2"/>
    <w:basedOn w:val="1"/>
    <w:next w:val="1"/>
    <w:link w:val="19"/>
    <w:unhideWhenUsed/>
    <w:qFormat/>
    <w:uiPriority w:val="9"/>
    <w:pPr>
      <w:keepNext/>
      <w:keepLines/>
      <w:spacing w:before="240" w:after="240"/>
      <w:jc w:val="center"/>
      <w:outlineLvl w:val="1"/>
    </w:pPr>
    <w:rPr>
      <w:rFonts w:eastAsia="微软雅黑" w:cstheme="majorBidi"/>
      <w:b/>
      <w:bCs/>
      <w:sz w:val="32"/>
      <w:szCs w:val="32"/>
    </w:rPr>
  </w:style>
  <w:style w:type="character" w:default="1" w:styleId="13">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1"/>
    <w:next w:val="1"/>
    <w:qFormat/>
    <w:uiPriority w:val="99"/>
    <w:pPr>
      <w:ind w:firstLine="420"/>
    </w:pPr>
  </w:style>
  <w:style w:type="paragraph" w:styleId="5">
    <w:name w:val="annotation text"/>
    <w:basedOn w:val="1"/>
    <w:link w:val="22"/>
    <w:semiHidden/>
    <w:unhideWhenUsed/>
    <w:qFormat/>
    <w:uiPriority w:val="99"/>
    <w:pPr>
      <w:widowControl w:val="0"/>
      <w:adjustRightInd/>
      <w:snapToGrid/>
      <w:spacing w:line="560" w:lineRule="exact"/>
      <w:ind w:firstLine="200" w:firstLineChars="200"/>
      <w:jc w:val="left"/>
    </w:pPr>
    <w:rPr>
      <w:rFonts w:cstheme="minorBidi"/>
      <w:kern w:val="2"/>
      <w:szCs w:val="22"/>
    </w:rPr>
  </w:style>
  <w:style w:type="paragraph" w:styleId="6">
    <w:name w:val="toc 3"/>
    <w:basedOn w:val="1"/>
    <w:next w:val="1"/>
    <w:unhideWhenUsed/>
    <w:qFormat/>
    <w:uiPriority w:val="39"/>
    <w:pPr>
      <w:adjustRightInd/>
      <w:snapToGrid/>
      <w:spacing w:after="100" w:line="259" w:lineRule="auto"/>
      <w:ind w:left="440"/>
      <w:jc w:val="left"/>
    </w:pPr>
    <w:rPr>
      <w:rFonts w:cs="Times New Roman" w:asciiTheme="minorHAnsi" w:hAnsiTheme="minorHAnsi" w:eastAsiaTheme="minorEastAsia"/>
      <w:sz w:val="22"/>
      <w:szCs w:val="22"/>
    </w:rPr>
  </w:style>
  <w:style w:type="paragraph" w:styleId="7">
    <w:name w:val="footer"/>
    <w:basedOn w:val="1"/>
    <w:link w:val="17"/>
    <w:unhideWhenUsed/>
    <w:qFormat/>
    <w:uiPriority w:val="99"/>
    <w:pPr>
      <w:tabs>
        <w:tab w:val="center" w:pos="4153"/>
        <w:tab w:val="right" w:pos="8306"/>
      </w:tabs>
      <w:spacing w:line="240" w:lineRule="auto"/>
      <w:jc w:val="left"/>
    </w:pPr>
    <w:rPr>
      <w:sz w:val="18"/>
      <w:szCs w:val="18"/>
    </w:rPr>
  </w:style>
  <w:style w:type="paragraph" w:styleId="8">
    <w:name w:val="header"/>
    <w:basedOn w:val="1"/>
    <w:link w:val="16"/>
    <w:unhideWhenUsed/>
    <w:qFormat/>
    <w:uiPriority w:val="99"/>
    <w:pPr>
      <w:pBdr>
        <w:bottom w:val="single" w:color="auto" w:sz="6" w:space="1"/>
      </w:pBdr>
      <w:tabs>
        <w:tab w:val="center" w:pos="4153"/>
        <w:tab w:val="right" w:pos="8306"/>
      </w:tabs>
      <w:spacing w:line="240" w:lineRule="auto"/>
      <w:jc w:val="center"/>
    </w:pPr>
    <w:rPr>
      <w:sz w:val="18"/>
      <w:szCs w:val="18"/>
    </w:rPr>
  </w:style>
  <w:style w:type="paragraph" w:styleId="9">
    <w:name w:val="toc 1"/>
    <w:basedOn w:val="1"/>
    <w:next w:val="1"/>
    <w:unhideWhenUsed/>
    <w:qFormat/>
    <w:uiPriority w:val="39"/>
    <w:pPr>
      <w:tabs>
        <w:tab w:val="left" w:pos="1050"/>
        <w:tab w:val="right" w:leader="dot" w:pos="8296"/>
      </w:tabs>
      <w:spacing w:after="100" w:line="240" w:lineRule="auto"/>
      <w:jc w:val="left"/>
    </w:pPr>
    <w:rPr>
      <w:rFonts w:ascii="微软雅黑" w:hAnsi="微软雅黑" w:eastAsia="微软雅黑" w:cs="Times New Roman"/>
      <w:b/>
      <w:bCs/>
      <w:szCs w:val="30"/>
    </w:rPr>
  </w:style>
  <w:style w:type="paragraph" w:styleId="10">
    <w:name w:val="toc 2"/>
    <w:basedOn w:val="1"/>
    <w:next w:val="1"/>
    <w:unhideWhenUsed/>
    <w:qFormat/>
    <w:uiPriority w:val="39"/>
    <w:pPr>
      <w:adjustRightInd/>
      <w:snapToGrid/>
      <w:spacing w:after="100" w:line="259" w:lineRule="auto"/>
      <w:ind w:left="220"/>
      <w:jc w:val="left"/>
    </w:pPr>
    <w:rPr>
      <w:rFonts w:cs="Times New Roman" w:asciiTheme="minorHAnsi" w:hAnsiTheme="minorHAnsi" w:eastAsiaTheme="minorEastAsia"/>
      <w:sz w:val="22"/>
      <w:szCs w:val="22"/>
    </w:rPr>
  </w:style>
  <w:style w:type="paragraph" w:styleId="11">
    <w:name w:val="annotation subject"/>
    <w:basedOn w:val="5"/>
    <w:next w:val="5"/>
    <w:link w:val="24"/>
    <w:semiHidden/>
    <w:unhideWhenUsed/>
    <w:qFormat/>
    <w:uiPriority w:val="99"/>
    <w:pPr>
      <w:widowControl/>
      <w:adjustRightInd w:val="0"/>
      <w:snapToGrid w:val="0"/>
      <w:spacing w:line="360" w:lineRule="auto"/>
      <w:ind w:firstLine="0" w:firstLineChars="0"/>
    </w:pPr>
    <w:rPr>
      <w:rFonts w:cs="宋体"/>
      <w:b/>
      <w:bCs/>
      <w:kern w:val="0"/>
      <w:szCs w:val="24"/>
    </w:rPr>
  </w:style>
  <w:style w:type="character" w:styleId="14">
    <w:name w:val="Hyperlink"/>
    <w:basedOn w:val="13"/>
    <w:unhideWhenUsed/>
    <w:qFormat/>
    <w:uiPriority w:val="99"/>
    <w:rPr>
      <w:color w:val="0563C1" w:themeColor="hyperlink"/>
      <w:u w:val="single"/>
      <w14:textFill>
        <w14:solidFill>
          <w14:schemeClr w14:val="hlink"/>
        </w14:solidFill>
      </w14:textFill>
    </w:rPr>
  </w:style>
  <w:style w:type="character" w:styleId="15">
    <w:name w:val="annotation reference"/>
    <w:basedOn w:val="13"/>
    <w:semiHidden/>
    <w:unhideWhenUsed/>
    <w:qFormat/>
    <w:uiPriority w:val="99"/>
    <w:rPr>
      <w:sz w:val="21"/>
      <w:szCs w:val="21"/>
    </w:rPr>
  </w:style>
  <w:style w:type="character" w:customStyle="1" w:styleId="16">
    <w:name w:val="页眉 字符"/>
    <w:basedOn w:val="13"/>
    <w:link w:val="8"/>
    <w:qFormat/>
    <w:uiPriority w:val="99"/>
    <w:rPr>
      <w:rFonts w:ascii="Times New Roman" w:hAnsi="Times New Roman" w:eastAsia="宋体" w:cs="宋体"/>
      <w:kern w:val="0"/>
      <w:sz w:val="18"/>
      <w:szCs w:val="18"/>
    </w:rPr>
  </w:style>
  <w:style w:type="character" w:customStyle="1" w:styleId="17">
    <w:name w:val="页脚 字符"/>
    <w:basedOn w:val="13"/>
    <w:link w:val="7"/>
    <w:qFormat/>
    <w:uiPriority w:val="99"/>
    <w:rPr>
      <w:rFonts w:ascii="Times New Roman" w:hAnsi="Times New Roman" w:eastAsia="宋体" w:cs="宋体"/>
      <w:kern w:val="0"/>
      <w:sz w:val="18"/>
      <w:szCs w:val="18"/>
    </w:rPr>
  </w:style>
  <w:style w:type="character" w:customStyle="1" w:styleId="18">
    <w:name w:val="标题 1 字符"/>
    <w:basedOn w:val="13"/>
    <w:link w:val="3"/>
    <w:qFormat/>
    <w:uiPriority w:val="9"/>
    <w:rPr>
      <w:rFonts w:ascii="Times New Roman" w:hAnsi="Times New Roman" w:eastAsia="微软雅黑" w:cs="宋体"/>
      <w:b/>
      <w:bCs/>
      <w:kern w:val="44"/>
      <w:sz w:val="36"/>
      <w:szCs w:val="44"/>
    </w:rPr>
  </w:style>
  <w:style w:type="character" w:customStyle="1" w:styleId="19">
    <w:name w:val="标题 2 字符"/>
    <w:basedOn w:val="13"/>
    <w:link w:val="4"/>
    <w:qFormat/>
    <w:uiPriority w:val="9"/>
    <w:rPr>
      <w:rFonts w:ascii="Times New Roman" w:hAnsi="Times New Roman" w:eastAsia="微软雅黑" w:cstheme="majorBidi"/>
      <w:b/>
      <w:bCs/>
      <w:kern w:val="0"/>
      <w:sz w:val="32"/>
      <w:szCs w:val="32"/>
    </w:rPr>
  </w:style>
  <w:style w:type="paragraph" w:styleId="20">
    <w:name w:val="List Paragraph"/>
    <w:basedOn w:val="1"/>
    <w:qFormat/>
    <w:uiPriority w:val="34"/>
    <w:pPr>
      <w:ind w:firstLine="420" w:firstLineChars="200"/>
    </w:pPr>
  </w:style>
  <w:style w:type="paragraph" w:customStyle="1" w:styleId="21">
    <w:name w:val="TOC 标题1"/>
    <w:basedOn w:val="3"/>
    <w:next w:val="1"/>
    <w:unhideWhenUsed/>
    <w:qFormat/>
    <w:uiPriority w:val="39"/>
    <w:pPr>
      <w:pageBreakBefore w:val="0"/>
      <w:adjustRightInd/>
      <w:snapToGrid/>
      <w:spacing w:before="240" w:beforeLines="0" w:after="0" w:afterLines="0" w:line="259" w:lineRule="auto"/>
      <w:jc w:val="left"/>
      <w:outlineLvl w:val="9"/>
    </w:pPr>
    <w:rPr>
      <w:rFonts w:asciiTheme="majorHAnsi" w:hAnsiTheme="majorHAnsi" w:eastAsiaTheme="majorEastAsia" w:cstheme="majorBidi"/>
      <w:b w:val="0"/>
      <w:bCs w:val="0"/>
      <w:color w:val="2F5597" w:themeColor="accent1" w:themeShade="BF"/>
      <w:kern w:val="0"/>
      <w:sz w:val="32"/>
      <w:szCs w:val="32"/>
    </w:rPr>
  </w:style>
  <w:style w:type="character" w:customStyle="1" w:styleId="22">
    <w:name w:val="批注文字 字符"/>
    <w:basedOn w:val="13"/>
    <w:link w:val="5"/>
    <w:semiHidden/>
    <w:qFormat/>
    <w:uiPriority w:val="99"/>
    <w:rPr>
      <w:rFonts w:ascii="Times New Roman" w:hAnsi="Times New Roman" w:eastAsia="仿宋_GB2312"/>
      <w:sz w:val="30"/>
    </w:rPr>
  </w:style>
  <w:style w:type="character" w:customStyle="1" w:styleId="23">
    <w:name w:val="NormalCharacter"/>
    <w:qFormat/>
    <w:uiPriority w:val="0"/>
    <w:rPr>
      <w:rFonts w:ascii="Calibri" w:hAnsi="Calibri" w:eastAsia="宋体" w:cs="Times New Roman"/>
      <w:kern w:val="2"/>
      <w:sz w:val="21"/>
      <w:szCs w:val="24"/>
      <w:lang w:val="en-US" w:eastAsia="zh-CN" w:bidi="ar-SA"/>
    </w:rPr>
  </w:style>
  <w:style w:type="character" w:customStyle="1" w:styleId="24">
    <w:name w:val="批注主题 字符"/>
    <w:basedOn w:val="22"/>
    <w:link w:val="11"/>
    <w:semiHidden/>
    <w:qFormat/>
    <w:uiPriority w:val="99"/>
    <w:rPr>
      <w:rFonts w:ascii="Times New Roman" w:hAnsi="Times New Roman" w:eastAsia="仿宋_GB2312" w:cs="宋体"/>
      <w:b/>
      <w:bCs/>
      <w:kern w:val="0"/>
      <w:sz w:val="30"/>
      <w:szCs w:val="24"/>
    </w:rPr>
  </w:style>
  <w:style w:type="paragraph" w:customStyle="1" w:styleId="25">
    <w:name w:val="修订1"/>
    <w:hidden/>
    <w:semiHidden/>
    <w:qFormat/>
    <w:uiPriority w:val="99"/>
    <w:rPr>
      <w:rFonts w:ascii="Times New Roman" w:hAnsi="Times New Roman" w:eastAsia="仿宋_GB2312" w:cs="宋体"/>
      <w:sz w:val="30"/>
      <w:szCs w:val="24"/>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5071</Words>
  <Characters>28906</Characters>
  <Lines>240</Lines>
  <Paragraphs>67</Paragraphs>
  <TotalTime>4</TotalTime>
  <ScaleCrop>false</ScaleCrop>
  <LinksUpToDate>false</LinksUpToDate>
  <CharactersWithSpaces>33910</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2023-06-06T14:39:00Z</dcterms:created>
  <dc:creator>达</dc:creator>
  <cp:lastModifiedBy>lenovo</cp:lastModifiedBy>
  <dcterms:modified xsi:type="dcterms:W3CDTF">2023-10-13T07:21:00Z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5923617691E148DDA99C89A9B7E29E58_13</vt:lpwstr>
  </property>
</Properties>
</file>