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hd w:val="clear" w:color="auto" w:fill="FFFFFF"/>
        <w:spacing w:before="0" w:beforeAutospacing="0" w:after="0" w:afterAutospacing="0" w:line="540" w:lineRule="exact"/>
        <w:jc w:val="both"/>
        <w:rPr>
          <w:rFonts w:ascii="仿宋_GB2312" w:hAnsi="Tahoma" w:eastAsia="仿宋_GB2312" w:cs="Tahom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2" w:name="_GoBack"/>
      <w:bookmarkEnd w:id="2"/>
    </w:p>
    <w:p>
      <w:pPr>
        <w:pStyle w:val="3"/>
        <w:shd w:val="clear" w:color="auto" w:fill="FFFFFF"/>
        <w:spacing w:before="0" w:beforeAutospacing="0" w:after="0" w:afterAutospacing="0" w:line="54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ahoma" w:eastAsia="仿宋_GB2312" w:cs="Tahom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</w:t>
      </w:r>
      <w:r>
        <w:rPr>
          <w:rFonts w:ascii="仿宋_GB2312" w:hAnsi="Tahoma" w:eastAsia="仿宋_GB2312" w:cs="Tahom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</w:t>
      </w:r>
      <w:r>
        <w:rPr>
          <w:rFonts w:hint="eastAsia" w:ascii="仿宋_GB2312" w:hAnsi="Tahoma" w:eastAsia="仿宋_GB2312" w:cs="Tahom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：1满洲里市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烟草制品零售点合理布局规划表</w:t>
      </w:r>
    </w:p>
    <w:p>
      <w:pPr>
        <w:pStyle w:val="3"/>
        <w:shd w:val="clear" w:color="auto" w:fill="FFFFFF"/>
        <w:spacing w:line="540" w:lineRule="exact"/>
        <w:ind w:firstLine="1600" w:firstLineChars="5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footerReference r:id="rId3" w:type="default"/>
          <w:pgSz w:w="11906" w:h="16838"/>
          <w:pgMar w:top="2098" w:right="1417" w:bottom="1984" w:left="1417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2.满洲里市烟草制品零售点现场测量标准  </w:t>
      </w:r>
    </w:p>
    <w:p>
      <w:pPr>
        <w:pStyle w:val="3"/>
        <w:shd w:val="clear" w:color="auto" w:fill="FFFFFF"/>
        <w:spacing w:before="0" w:beforeAutospacing="0" w:after="0" w:afterAutospacing="0" w:line="560" w:lineRule="exact"/>
        <w:rPr>
          <w:rFonts w:ascii="CESI黑体-GB13000" w:hAnsi="CESI黑体-GB13000" w:eastAsia="CESI黑体-GB13000" w:cs="CESI黑体-GB13000"/>
          <w:sz w:val="32"/>
          <w:szCs w:val="32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</w:rPr>
        <w:t>附件1:</w:t>
      </w:r>
    </w:p>
    <w:p>
      <w:pPr>
        <w:spacing w:line="840" w:lineRule="exact"/>
        <w:jc w:val="center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hint="eastAsia" w:ascii="方正小标宋简体" w:hAnsi="宋体" w:eastAsia="方正小标宋简体" w:cs="宋体"/>
          <w:sz w:val="44"/>
          <w:szCs w:val="44"/>
          <w:lang w:bidi="ug-CN"/>
        </w:rPr>
        <w:t>满洲里市烟草制品零售点合理布局规划表</w:t>
      </w:r>
    </w:p>
    <w:p>
      <w:pPr>
        <w:pStyle w:val="3"/>
        <w:shd w:val="clear" w:color="auto" w:fill="FFFFFF"/>
        <w:spacing w:before="0" w:beforeAutospacing="0" w:after="0" w:afterAutospacing="0" w:line="560" w:lineRule="exact"/>
        <w:rPr>
          <w:rFonts w:ascii="CESI黑体-GB13000" w:hAnsi="CESI黑体-GB13000" w:eastAsia="CESI黑体-GB13000" w:cs="CESI黑体-GB13000"/>
          <w:sz w:val="32"/>
          <w:szCs w:val="32"/>
        </w:rPr>
      </w:pPr>
    </w:p>
    <w:tbl>
      <w:tblPr>
        <w:tblStyle w:val="6"/>
        <w:tblW w:w="1519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1691"/>
        <w:gridCol w:w="1919"/>
        <w:gridCol w:w="1417"/>
        <w:gridCol w:w="1143"/>
        <w:gridCol w:w="1177"/>
        <w:gridCol w:w="1173"/>
        <w:gridCol w:w="1327"/>
        <w:gridCol w:w="2976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3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序号</w:t>
            </w:r>
          </w:p>
        </w:tc>
        <w:tc>
          <w:tcPr>
            <w:tcW w:w="1691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行政区域</w:t>
            </w:r>
          </w:p>
        </w:tc>
        <w:tc>
          <w:tcPr>
            <w:tcW w:w="1919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区域划分范围</w:t>
            </w:r>
          </w:p>
        </w:tc>
        <w:tc>
          <w:tcPr>
            <w:tcW w:w="1417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规划方式（模式）</w:t>
            </w:r>
          </w:p>
        </w:tc>
        <w:tc>
          <w:tcPr>
            <w:tcW w:w="1143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现有数量</w:t>
            </w:r>
          </w:p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（户）</w:t>
            </w:r>
          </w:p>
        </w:tc>
        <w:tc>
          <w:tcPr>
            <w:tcW w:w="1177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规划数量</w:t>
            </w:r>
          </w:p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（户）</w:t>
            </w:r>
          </w:p>
        </w:tc>
        <w:tc>
          <w:tcPr>
            <w:tcW w:w="1173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增长值</w:t>
            </w:r>
          </w:p>
        </w:tc>
        <w:tc>
          <w:tcPr>
            <w:tcW w:w="1327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距离限制</w:t>
            </w:r>
          </w:p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（米）</w:t>
            </w:r>
          </w:p>
        </w:tc>
        <w:tc>
          <w:tcPr>
            <w:tcW w:w="2976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规划数量情况说明</w:t>
            </w:r>
          </w:p>
        </w:tc>
        <w:tc>
          <w:tcPr>
            <w:tcW w:w="1701" w:type="dxa"/>
          </w:tcPr>
          <w:p>
            <w:pPr>
              <w:pStyle w:val="3"/>
              <w:spacing w:before="0" w:beforeAutospacing="0" w:after="0" w:afterAutospacing="0" w:line="560" w:lineRule="exact"/>
              <w:jc w:val="center"/>
              <w:rPr>
                <w:rFonts w:ascii="楷体" w:hAnsi="楷体" w:eastAsia="楷体" w:cs="CESI黑体-GB13000"/>
              </w:rPr>
            </w:pPr>
            <w:r>
              <w:rPr>
                <w:rFonts w:hint="eastAsia" w:ascii="楷体" w:hAnsi="楷体" w:eastAsia="楷体" w:cs="CESI黑体-GB13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  <w:jc w:val="center"/>
        </w:trPr>
        <w:tc>
          <w:tcPr>
            <w:tcW w:w="673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1</w:t>
            </w:r>
          </w:p>
        </w:tc>
        <w:tc>
          <w:tcPr>
            <w:tcW w:w="1691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满洲里市区</w:t>
            </w:r>
          </w:p>
        </w:tc>
        <w:tc>
          <w:tcPr>
            <w:tcW w:w="1919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满洲里市区全域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总量+距离</w:t>
            </w:r>
          </w:p>
        </w:tc>
        <w:tc>
          <w:tcPr>
            <w:tcW w:w="1143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767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693</w:t>
            </w:r>
          </w:p>
        </w:tc>
        <w:tc>
          <w:tcPr>
            <w:tcW w:w="1173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-74</w:t>
            </w:r>
          </w:p>
        </w:tc>
        <w:tc>
          <w:tcPr>
            <w:tcW w:w="1327" w:type="dxa"/>
            <w:vMerge w:val="restart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4"/>
              </w:rPr>
            </w:pPr>
          </w:p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100米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2976" w:type="dxa"/>
            <w:vMerge w:val="restart"/>
          </w:tcPr>
          <w:p>
            <w:pPr>
              <w:jc w:val="left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CESI黑体-GB13000" w:eastAsia="仿宋_GB2312" w:cs="CESI黑体-GB13000"/>
              </w:rPr>
              <w:t>满洲里市区第七次人口普查常住</w:t>
            </w:r>
            <w:r>
              <w:rPr>
                <w:rFonts w:hint="eastAsia" w:ascii="仿宋_GB2312" w:hAnsi="CESI黑体-GB13000" w:eastAsia="仿宋_GB2312" w:cs="CESI黑体-GB13000"/>
                <w:szCs w:val="21"/>
              </w:rPr>
              <w:t>人口150508人，扎赉诺尔区常住人口84424人，全区零售户持证比4.459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‰，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参考全区零售户持证比以及口岸城市流动人口、交通状况、消费需求、经济发展水平等因素，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以持证比4.6‰测算合理容量，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综合确定5年规划数。规划正式施行第一年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合理容量为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持证比5.0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‰，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第二年为4.9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‰，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第三年为4.8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‰，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第四年为4.7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‰，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第五年达到4.6</w:t>
            </w:r>
            <w:r>
              <w:rPr>
                <w:rFonts w:hint="eastAsia" w:ascii="仿宋_GB2312" w:hAnsi="微软雅黑" w:eastAsia="仿宋_GB2312" w:cs="CESI黑体-GB13000"/>
                <w:szCs w:val="21"/>
              </w:rPr>
              <w:t>‰表内规划数。</w:t>
            </w:r>
          </w:p>
        </w:tc>
        <w:tc>
          <w:tcPr>
            <w:tcW w:w="1701" w:type="dxa"/>
            <w:vMerge w:val="restart"/>
          </w:tcPr>
          <w:p>
            <w:pPr>
              <w:tabs>
                <w:tab w:val="left" w:pos="744"/>
              </w:tabs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</w:rPr>
              <w:t>以2020年第七次人口普查数据234932人为准，持证户以2022年末数据为准，全市持证户1193户，第一年达到1175户，减少18户；第二年1152户，减少23户；第三年1128户，减少24户；第四年1105户，减少23户；第五年1082户，减少23户，共减少111户。</w:t>
            </w:r>
            <w:r>
              <w:rPr>
                <w:rFonts w:hint="eastAsia" w:ascii="仿宋_GB2312" w:hAnsi="Times New Roman" w:eastAsia="仿宋_GB2312" w:cs="Times New Roman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  <w:jc w:val="center"/>
        </w:trPr>
        <w:tc>
          <w:tcPr>
            <w:tcW w:w="673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2</w:t>
            </w:r>
          </w:p>
        </w:tc>
        <w:tc>
          <w:tcPr>
            <w:tcW w:w="1691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扎赉诺尔区</w:t>
            </w:r>
          </w:p>
        </w:tc>
        <w:tc>
          <w:tcPr>
            <w:tcW w:w="1919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扎赉诺尔区全域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总量+距离</w:t>
            </w:r>
          </w:p>
        </w:tc>
        <w:tc>
          <w:tcPr>
            <w:tcW w:w="1143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426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389</w:t>
            </w:r>
          </w:p>
        </w:tc>
        <w:tc>
          <w:tcPr>
            <w:tcW w:w="1173" w:type="dxa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-37</w:t>
            </w:r>
          </w:p>
        </w:tc>
        <w:tc>
          <w:tcPr>
            <w:tcW w:w="1327" w:type="dxa"/>
            <w:vMerge w:val="continue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2976" w:type="dxa"/>
            <w:vMerge w:val="continue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1701" w:type="dxa"/>
            <w:vMerge w:val="continue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</w:tr>
    </w:tbl>
    <w:p>
      <w:pPr>
        <w:pStyle w:val="3"/>
        <w:shd w:val="clear" w:color="auto" w:fill="FFFFFF"/>
        <w:spacing w:before="0" w:beforeAutospacing="0" w:after="0" w:afterAutospacing="0" w:line="560" w:lineRule="exact"/>
        <w:rPr>
          <w:color w:val="FF0000"/>
        </w:rPr>
        <w:sectPr>
          <w:pgSz w:w="16838" w:h="11906" w:orient="landscape"/>
          <w:pgMar w:top="1418" w:right="2098" w:bottom="1418" w:left="1985" w:header="851" w:footer="992" w:gutter="0"/>
          <w:cols w:space="425" w:num="1"/>
          <w:docGrid w:linePitch="312" w:charSpace="0"/>
        </w:sectPr>
      </w:pPr>
    </w:p>
    <w:p>
      <w:pPr>
        <w:spacing w:line="560" w:lineRule="exact"/>
        <w:rPr>
          <w:rFonts w:ascii="黑体" w:hAnsi="黑体" w:eastAsia="黑体" w:cs="宋体"/>
          <w:sz w:val="32"/>
          <w:szCs w:val="32"/>
          <w:lang w:bidi="ug-CN"/>
        </w:rPr>
      </w:pPr>
      <w:r>
        <w:rPr>
          <w:rFonts w:hint="eastAsia" w:ascii="黑体" w:hAnsi="黑体" w:eastAsia="黑体" w:cs="宋体"/>
          <w:kern w:val="32"/>
          <w:sz w:val="32"/>
          <w:szCs w:val="32"/>
          <w:lang w:bidi="ug-CN"/>
        </w:rPr>
        <w:t>附件2：</w:t>
      </w:r>
    </w:p>
    <w:p>
      <w:pPr>
        <w:spacing w:line="840" w:lineRule="exact"/>
        <w:jc w:val="center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hint="eastAsia" w:ascii="方正小标宋简体" w:hAnsi="宋体" w:eastAsia="方正小标宋简体" w:cs="宋体"/>
          <w:sz w:val="44"/>
          <w:szCs w:val="44"/>
          <w:lang w:bidi="ug-CN"/>
        </w:rPr>
        <w:t>满洲里市烟草制品零售点现场测量标准</w:t>
      </w:r>
    </w:p>
    <w:p>
      <w:pPr>
        <w:spacing w:line="560" w:lineRule="exact"/>
        <w:ind w:firstLine="640" w:firstLineChars="200"/>
        <w:rPr>
          <w:rFonts w:ascii="仿宋_GB2312" w:hAnsi="微软雅黑" w:eastAsia="仿宋_GB2312" w:cs="宋体"/>
          <w:sz w:val="32"/>
          <w:szCs w:val="32"/>
          <w:lang w:bidi="ug-CN"/>
        </w:rPr>
      </w:pPr>
    </w:p>
    <w:p>
      <w:pPr>
        <w:spacing w:line="560" w:lineRule="exact"/>
        <w:ind w:firstLine="640" w:firstLineChars="200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hint="eastAsia" w:ascii="仿宋_GB2312" w:hAnsi="微软雅黑" w:eastAsia="仿宋_GB2312" w:cs="宋体"/>
          <w:sz w:val="32"/>
          <w:szCs w:val="32"/>
          <w:lang w:bidi="ug-CN"/>
        </w:rPr>
        <w:t>为统一、规范现场测量标准，确保烟草制品零售点勘验公开、公平、公正，依据《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满洲里市烟草制品零售点合理布局规划》（以下简称《合理布局规划》），制定本标准。</w:t>
      </w:r>
    </w:p>
    <w:p>
      <w:pPr>
        <w:spacing w:line="560" w:lineRule="exact"/>
        <w:ind w:firstLine="640" w:firstLineChars="200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hint="eastAsia" w:ascii="仿宋_GB2312" w:hAnsi="黑体" w:eastAsia="仿宋_GB2312" w:cs="宋体"/>
          <w:sz w:val="32"/>
          <w:szCs w:val="32"/>
          <w:lang w:bidi="ug-CN"/>
        </w:rPr>
        <w:t>第一条  本标准适用于满洲里市烟草专卖局、扎赉诺尔区烟草专卖局对烟草制品零售点布局的</w:t>
      </w:r>
      <w:r>
        <w:rPr>
          <w:rFonts w:hint="eastAsia" w:ascii="仿宋_GB2312" w:hAnsi="微软雅黑" w:eastAsia="仿宋_GB2312" w:cs="宋体"/>
          <w:sz w:val="32"/>
          <w:szCs w:val="32"/>
          <w:lang w:bidi="ug-CN"/>
        </w:rPr>
        <w:t>现场测量工作。</w:t>
      </w:r>
    </w:p>
    <w:p>
      <w:pPr>
        <w:spacing w:line="560" w:lineRule="exact"/>
        <w:ind w:firstLine="640" w:firstLineChars="200"/>
        <w:rPr>
          <w:rFonts w:ascii="仿宋_GB2312" w:hAnsi="微软雅黑" w:eastAsia="仿宋_GB2312" w:cs="宋体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 xml:space="preserve">第二条  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烟草制品零售点</w:t>
      </w:r>
      <w:r>
        <w:rPr>
          <w:rFonts w:hint="eastAsia" w:ascii="仿宋_GB2312" w:hAnsi="微软雅黑" w:eastAsia="仿宋_GB2312" w:cs="宋体"/>
          <w:sz w:val="32"/>
          <w:szCs w:val="32"/>
          <w:lang w:bidi="ug-CN"/>
        </w:rPr>
        <w:t>现场测量主要是指间距距离的测量认定。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  <w:lang w:bidi="ug-CN"/>
        </w:rPr>
      </w:pPr>
      <w:r>
        <w:rPr>
          <w:rFonts w:hint="eastAsia" w:ascii="仿宋_GB2312" w:hAnsi="微软雅黑" w:eastAsia="仿宋_GB2312" w:cs="宋体"/>
          <w:sz w:val="32"/>
          <w:szCs w:val="32"/>
          <w:lang w:bidi="ug-CN"/>
        </w:rPr>
        <w:t>第三条  间距距离测量，是指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申请人的经营场所营业</w:t>
      </w:r>
      <w:r>
        <w:rPr>
          <w:rFonts w:ascii="仿宋_GB2312" w:hAnsi="仿宋_GB2312" w:eastAsia="仿宋_GB2312" w:cs="仿宋_GB2312"/>
          <w:sz w:val="32"/>
          <w:szCs w:val="32"/>
          <w:lang w:bidi="ug-CN"/>
        </w:rPr>
        <w:t>大门中心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与最近零售点的经营场所营业</w:t>
      </w:r>
      <w:r>
        <w:rPr>
          <w:rFonts w:ascii="仿宋_GB2312" w:hAnsi="仿宋_GB2312" w:eastAsia="仿宋_GB2312" w:cs="仿宋_GB2312"/>
          <w:sz w:val="32"/>
          <w:szCs w:val="32"/>
          <w:lang w:bidi="ug-CN"/>
        </w:rPr>
        <w:t>大门中心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之间行人可正常安全通行的无障碍最短距离。</w:t>
      </w:r>
    </w:p>
    <w:p>
      <w:pPr>
        <w:widowControl/>
        <w:shd w:val="clear" w:color="auto" w:fill="FFFFFF"/>
        <w:spacing w:line="560" w:lineRule="exact"/>
        <w:ind w:firstLine="640"/>
        <w:jc w:val="left"/>
        <w:rPr>
          <w:rFonts w:ascii="仿宋_GB2312" w:hAnsi="宋体" w:eastAsia="仿宋_GB2312" w:cs="宋体"/>
          <w:kern w:val="0"/>
          <w:sz w:val="32"/>
          <w:szCs w:val="32"/>
          <w:lang w:bidi="ug-CN"/>
        </w:rPr>
      </w:pPr>
      <w:r>
        <w:rPr>
          <w:rFonts w:hint="eastAsia" w:ascii="仿宋_GB2312" w:hAnsi="黑体" w:eastAsia="仿宋_GB2312" w:cs="宋体"/>
          <w:sz w:val="32"/>
          <w:szCs w:val="32"/>
          <w:lang w:bidi="ug-CN"/>
        </w:rPr>
        <w:t xml:space="preserve">第四条  </w:t>
      </w:r>
      <w:r>
        <w:rPr>
          <w:rFonts w:hint="eastAsia" w:ascii="仿宋_GB2312" w:hAnsi="微软雅黑" w:eastAsia="仿宋_GB2312" w:cs="宋体"/>
          <w:sz w:val="32"/>
          <w:szCs w:val="32"/>
          <w:lang w:bidi="ug-CN"/>
        </w:rPr>
        <w:t>间距距离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使用测量工具进行测量，测量结果在零售点设置合格值正负2%范围以内，申请人或利害关系人提出复核的，由测量单位法制监督部门参与进行二次勘验，并制作现场勘验表和全程视频音频记录。</w:t>
      </w:r>
    </w:p>
    <w:p>
      <w:pPr>
        <w:spacing w:line="560" w:lineRule="exact"/>
        <w:ind w:firstLine="640" w:firstLineChars="200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kern w:val="32"/>
          <w:sz w:val="32"/>
          <w:szCs w:val="32"/>
          <w:lang w:bidi="ug-CN"/>
        </w:rPr>
        <w:t xml:space="preserve">第五条  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政府有关部门在街道或道路中已经设置的行人隔离带（栏）、绿化带等视为障碍物，认定为不可正常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安全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通行。</w:t>
      </w:r>
    </w:p>
    <w:p>
      <w:pPr>
        <w:spacing w:line="540" w:lineRule="exact"/>
        <w:ind w:firstLine="640" w:firstLineChars="200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caps/>
          <w:sz w:val="32"/>
          <w:szCs w:val="32"/>
          <w:lang w:bidi="ug-CN"/>
        </w:rPr>
        <w:t>第六条  在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通行道路上临时设置的安全设施，临时放置的建筑材料、物品，擅自设立、建造的建筑、物体，以及因阶段性施工影响通行等不视为障碍物。</w:t>
      </w:r>
    </w:p>
    <w:p>
      <w:pPr>
        <w:widowControl/>
        <w:shd w:val="clear" w:color="auto" w:fill="FFFFFF"/>
        <w:spacing w:line="540" w:lineRule="exact"/>
        <w:ind w:firstLine="640" w:firstLineChars="200"/>
        <w:jc w:val="left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 xml:space="preserve">第七条  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测量标准。</w:t>
      </w:r>
    </w:p>
    <w:p>
      <w:pPr>
        <w:spacing w:line="54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同侧无障碍物的,测量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最短直线距离。（如图1所示）</w:t>
      </w:r>
    </w:p>
    <w:p>
      <w:pPr>
        <w:jc w:val="center"/>
        <w:rPr>
          <w:rFonts w:ascii="仿宋_GB2312" w:hAnsi="宋体" w:eastAsia="仿宋_GB2312" w:cs="宋体"/>
          <w:kern w:val="0"/>
          <w:sz w:val="32"/>
          <w:szCs w:val="32"/>
          <w:lang w:bidi="ug-CN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5257800" cy="2025650"/>
            <wp:effectExtent l="0" t="0" r="0" b="1270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（图1）</w:t>
      </w:r>
    </w:p>
    <w:p>
      <w:pPr>
        <w:adjustRightInd w:val="0"/>
        <w:snapToGrid w:val="0"/>
        <w:spacing w:line="54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同侧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存在障碍物的，测量按直角分段绕过障碍物测量，分段距离之和即为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间的距离。（如图2所示）</w:t>
      </w:r>
    </w:p>
    <w:p>
      <w:pPr>
        <w:adjustRightInd w:val="0"/>
        <w:snapToGrid w:val="0"/>
        <w:jc w:val="center"/>
        <w:rPr>
          <w:rFonts w:ascii="方正小标宋简体" w:hAnsi="黑体" w:eastAsia="方正小标宋简体" w:cs="宋体"/>
          <w:sz w:val="32"/>
          <w:szCs w:val="32"/>
          <w:lang w:bidi="ug-CN"/>
        </w:rPr>
      </w:pPr>
      <w:r>
        <w:rPr>
          <w:rFonts w:ascii="方正小标宋简体" w:hAnsi="黑体" w:eastAsia="方正小标宋简体" w:cs="宋体"/>
          <w:sz w:val="32"/>
          <w:szCs w:val="32"/>
        </w:rPr>
        <w:drawing>
          <wp:inline distT="0" distB="0" distL="0" distR="0">
            <wp:extent cx="5276850" cy="1898650"/>
            <wp:effectExtent l="0" t="0" r="0" b="6350"/>
            <wp:docPr id="5" name="图片 5" descr="1d7f0ab4-2a82-4e0d-8a2f-87f543d903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d7f0ab4-2a82-4e0d-8a2f-87f543d9031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jc w:val="center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方正小标宋简体" w:hAnsi="黑体" w:eastAsia="方正小标宋简体" w:cs="宋体"/>
          <w:sz w:val="32"/>
          <w:szCs w:val="32"/>
          <w:lang w:bidi="ug-CN"/>
        </w:rPr>
        <w:t>（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图2）</w:t>
      </w:r>
    </w:p>
    <w:p>
      <w:pPr>
        <w:adjustRightInd w:val="0"/>
        <w:snapToGrid w:val="0"/>
        <w:spacing w:line="54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异侧无障碍物的,测量按直角分段测量，分段距离之和即为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 xml:space="preserve">的距离。（如图3所示）  </w:t>
      </w:r>
    </w:p>
    <w:p>
      <w:pPr>
        <w:adjustRightInd w:val="0"/>
        <w:snapToGrid w:val="0"/>
        <w:jc w:val="center"/>
        <w:rPr>
          <w:rFonts w:ascii="方正小标宋简体" w:hAnsi="黑体" w:eastAsia="方正小标宋简体" w:cs="宋体"/>
          <w:szCs w:val="21"/>
          <w:lang w:bidi="ug-CN"/>
        </w:rPr>
      </w:pPr>
      <w:r>
        <w:rPr>
          <w:rFonts w:ascii="方正小标宋简体" w:hAnsi="黑体" w:eastAsia="方正小标宋简体" w:cs="宋体"/>
          <w:szCs w:val="21"/>
        </w:rPr>
        <w:drawing>
          <wp:inline distT="0" distB="0" distL="0" distR="0">
            <wp:extent cx="5257800" cy="2635250"/>
            <wp:effectExtent l="0" t="0" r="0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小标宋简体" w:hAnsi="黑体" w:eastAsia="方正小标宋简体" w:cs="宋体"/>
          <w:szCs w:val="21"/>
          <w:lang w:bidi="ug-CN"/>
        </w:rPr>
        <w:t xml:space="preserve"> </w:t>
      </w:r>
    </w:p>
    <w:p>
      <w:pPr>
        <w:adjustRightInd w:val="0"/>
        <w:snapToGrid w:val="0"/>
        <w:jc w:val="center"/>
        <w:rPr>
          <w:rFonts w:ascii="仿宋_GB2312" w:hAnsi="宋体" w:eastAsia="仿宋_GB2312" w:cs="宋体"/>
          <w:kern w:val="0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（图3）</w:t>
      </w:r>
    </w:p>
    <w:p>
      <w:pPr>
        <w:adjustRightInd w:val="0"/>
        <w:snapToGrid w:val="0"/>
        <w:spacing w:line="54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异侧存在障碍物的，测量按直角分段绕过障碍物测量，分段距离之和即为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间的距离。（如图4所示）</w:t>
      </w:r>
    </w:p>
    <w:p>
      <w:pPr>
        <w:adjustRightInd w:val="0"/>
        <w:snapToGrid w:val="0"/>
        <w:jc w:val="center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ascii="仿宋_GB2312" w:hAnsi="仿宋" w:eastAsia="仿宋_GB2312" w:cs="宋体"/>
          <w:sz w:val="32"/>
          <w:szCs w:val="32"/>
        </w:rPr>
        <w:drawing>
          <wp:inline distT="0" distB="0" distL="0" distR="0">
            <wp:extent cx="5219700" cy="2540000"/>
            <wp:effectExtent l="0" t="0" r="0" b="127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 xml:space="preserve"> </w:t>
      </w:r>
    </w:p>
    <w:p>
      <w:pPr>
        <w:adjustRightInd w:val="0"/>
        <w:snapToGrid w:val="0"/>
        <w:jc w:val="center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（图4）</w:t>
      </w:r>
    </w:p>
    <w:p>
      <w:pPr>
        <w:adjustRightInd w:val="0"/>
        <w:snapToGrid w:val="0"/>
        <w:spacing w:line="60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之间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道路存在有转角的，按直角分段测量最短距离。（如图5所示）</w:t>
      </w:r>
    </w:p>
    <w:p>
      <w:pPr>
        <w:adjustRightInd w:val="0"/>
        <w:snapToGrid w:val="0"/>
        <w:ind w:firstLine="707" w:firstLineChars="221"/>
        <w:jc w:val="center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ascii="方正小标宋简体" w:hAnsi="黑体" w:eastAsia="方正小标宋简体" w:cs="宋体"/>
          <w:sz w:val="32"/>
          <w:szCs w:val="32"/>
        </w:rPr>
        <w:drawing>
          <wp:inline distT="0" distB="0" distL="0" distR="0">
            <wp:extent cx="5054600" cy="3600450"/>
            <wp:effectExtent l="0" t="0" r="1270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小标宋简体" w:hAnsi="黑体" w:eastAsia="方正小标宋简体" w:cs="宋体"/>
          <w:sz w:val="32"/>
          <w:szCs w:val="32"/>
          <w:lang w:bidi="ug-CN"/>
        </w:rPr>
        <w:t>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图5）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6.以中学、小学、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幼儿园进出口</w:t>
      </w:r>
      <w:r>
        <w:rPr>
          <w:rFonts w:hint="eastAsia" w:ascii="仿宋_GB2312" w:hAnsi="宋体" w:eastAsia="仿宋_GB2312" w:cs="宋体"/>
          <w:kern w:val="32"/>
          <w:sz w:val="32"/>
          <w:szCs w:val="32"/>
          <w:lang w:bidi="ug-CN"/>
        </w:rPr>
        <w:t>通道为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参照点的,参照上述方式进行测量。</w:t>
      </w:r>
    </w:p>
    <w:p>
      <w:pPr>
        <w:snapToGrid w:val="0"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 xml:space="preserve">7. 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门面多面（多间）贯通且多面经营的，取与最近零售点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经营场所营业大门中心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之间进行测量。</w:t>
      </w:r>
    </w:p>
    <w:p>
      <w:pPr>
        <w:snapToGrid w:val="0"/>
        <w:spacing w:line="560" w:lineRule="exact"/>
        <w:ind w:firstLine="640" w:firstLineChars="200"/>
        <w:jc w:val="left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8.市场、封闭式小区内、广场等区域零售点间距测量方法均以原设计道路、人行通道行人正常安全行走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ug-CN"/>
        </w:rPr>
        <w:t>的最短距离进行测量。</w:t>
      </w:r>
    </w:p>
    <w:p>
      <w:pPr>
        <w:adjustRightInd w:val="0"/>
        <w:snapToGrid w:val="0"/>
        <w:spacing w:line="60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9.特殊地形测量：因地形、地貌或设计等原因导致道路、通道成不规则形态，通过前述方法无法测量的，取可安全通行路径最近距离进行测量。</w:t>
      </w:r>
    </w:p>
    <w:p>
      <w:pPr>
        <w:adjustRightInd w:val="0"/>
        <w:snapToGrid w:val="0"/>
        <w:spacing w:line="60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10.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之间有台阶、楼梯的，以其平面坡长进行测量（如图6所示）；有电梯的，以层高进行测量；楼梯与电梯并存的，以最短距离的为准。</w:t>
      </w:r>
    </w:p>
    <w:p>
      <w:pPr>
        <w:adjustRightInd w:val="0"/>
        <w:snapToGrid w:val="0"/>
        <w:jc w:val="center"/>
        <w:rPr>
          <w:rFonts w:ascii="仿宋_GB2312" w:hAnsi="黑体" w:eastAsia="仿宋_GB2312" w:cs="宋体"/>
          <w:sz w:val="32"/>
          <w:szCs w:val="32"/>
          <w:lang w:bidi="ug-CN"/>
        </w:rPr>
      </w:pPr>
      <w:r>
        <w:rPr>
          <w:rFonts w:ascii="仿宋_GB2312" w:hAnsi="黑体" w:eastAsia="仿宋_GB2312" w:cs="宋体"/>
          <w:sz w:val="32"/>
          <w:szCs w:val="32"/>
        </w:rPr>
        <w:drawing>
          <wp:inline distT="0" distB="0" distL="0" distR="0">
            <wp:extent cx="4679950" cy="2114550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jc w:val="center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黑体" w:eastAsia="仿宋_GB2312" w:cs="宋体"/>
          <w:sz w:val="32"/>
          <w:szCs w:val="32"/>
          <w:lang w:bidi="ug-CN"/>
        </w:rPr>
        <w:t>（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图6）</w:t>
      </w:r>
    </w:p>
    <w:p>
      <w:pPr>
        <w:adjustRightInd w:val="0"/>
        <w:snapToGrid w:val="0"/>
        <w:spacing w:line="60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仿宋" w:eastAsia="仿宋_GB2312" w:cs="宋体"/>
          <w:sz w:val="32"/>
          <w:szCs w:val="32"/>
          <w:lang w:bidi="ug-CN"/>
        </w:rPr>
        <w:t>11.间距测量时测量值超出零售点设置标准要求20%以上的，注明“内无零售点”即可（如规划</w:t>
      </w:r>
      <w:r>
        <w:rPr>
          <w:rFonts w:hint="eastAsia" w:ascii="仿宋_GB2312" w:hAnsi="仿宋_GB2312" w:eastAsia="仿宋_GB2312" w:cs="仿宋_GB2312"/>
          <w:sz w:val="32"/>
          <w:szCs w:val="32"/>
          <w:lang w:bidi="ug-CN"/>
        </w:rPr>
        <w:t>申请人的经营场所与最近零售点的经营场所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>间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距</w:t>
      </w:r>
      <w:r>
        <w:rPr>
          <w:rFonts w:hint="eastAsia" w:ascii="仿宋_GB2312" w:hAnsi="仿宋" w:eastAsia="仿宋_GB2312" w:cs="宋体"/>
          <w:sz w:val="32"/>
          <w:szCs w:val="32"/>
          <w:lang w:bidi="ug-CN"/>
        </w:rPr>
        <w:t xml:space="preserve">要达到100米以上，测量时超过120米的，可注明“120米范围内无零售点”）。 </w:t>
      </w:r>
    </w:p>
    <w:p>
      <w:pPr>
        <w:adjustRightInd w:val="0"/>
        <w:snapToGrid w:val="0"/>
        <w:spacing w:line="600" w:lineRule="exact"/>
        <w:ind w:firstLine="707" w:firstLineChars="221"/>
        <w:rPr>
          <w:rFonts w:ascii="仿宋_GB2312" w:hAnsi="仿宋" w:eastAsia="仿宋_GB2312" w:cs="宋体"/>
          <w:sz w:val="32"/>
          <w:szCs w:val="32"/>
          <w:lang w:bidi="ug-CN"/>
        </w:rPr>
      </w:pPr>
      <w:r>
        <w:rPr>
          <w:rFonts w:hint="eastAsia" w:ascii="仿宋_GB2312" w:hAnsi="宋体" w:eastAsia="仿宋_GB2312" w:cs="宋体"/>
          <w:sz w:val="32"/>
          <w:szCs w:val="32"/>
          <w:lang w:bidi="ug-CN"/>
        </w:rPr>
        <w:t>12．</w:t>
      </w:r>
      <w:r>
        <w:rPr>
          <w:rFonts w:hint="eastAsia" w:ascii="仿宋_GB2312" w:hAnsi="黑体" w:eastAsia="仿宋_GB2312" w:cs="宋体"/>
          <w:sz w:val="32"/>
          <w:szCs w:val="32"/>
          <w:lang w:bidi="ug-CN"/>
        </w:rPr>
        <w:t>测量工具使用符合国家统一标准的测量工具。</w:t>
      </w:r>
      <w:bookmarkStart w:id="0" w:name="ContentEnd"/>
      <w:bookmarkEnd w:id="0"/>
      <w:bookmarkStart w:id="1" w:name="DocEnd"/>
      <w:bookmarkEnd w:id="1"/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创艺简标宋">
    <w:altName w:val="方正小标宋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ESI黑体-GB13000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NJWO7QAAAABQEAAA8AAAAAAAAAAQAg&#10;AAAAIgAAAGRycy9kb3ducmV2LnhtbFBLAQIUABQAAAAIAIdO4kB4wunRFgIAABUEAAAOAAAAAAAA&#10;AAEAIAAAAB8BAABkcnMvZTJvRG9jLnhtbFBLBQYAAAAABgAGAFkBAACn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BE1325"/>
    <w:rsid w:val="36BE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2023-10-24T02:24:00Z</dcterms:created>
  <dc:creator>0000</dc:creator>
  <cp:lastModifiedBy>0000</cp:lastModifiedBy>
  <dcterms:modified xsi:type="dcterms:W3CDTF">2023-10-24T02:25:29Z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