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Autospacing="0" w:line="560" w:lineRule="exact"/>
        <w:jc w:val="center"/>
        <w:textAlignment w:val="auto"/>
        <w:rPr>
          <w:rFonts w:hint="eastAsia" w:ascii="方正小标宋简体" w:hAnsi="方正小标宋简体" w:eastAsia="方正小标宋简体" w:cs="方正小标宋简体"/>
          <w:b w:val="0"/>
          <w:bCs w:val="0"/>
          <w:i w:val="0"/>
          <w:iCs w:val="0"/>
          <w:caps w:val="0"/>
          <w:color w:val="212529"/>
          <w:spacing w:val="0"/>
          <w:sz w:val="44"/>
          <w:szCs w:val="44"/>
          <w:shd w:val="clear" w:fill="FFFFFF"/>
        </w:rPr>
      </w:pPr>
      <w:r>
        <w:rPr>
          <w:rFonts w:hint="eastAsia" w:ascii="方正小标宋简体" w:hAnsi="方正小标宋简体" w:eastAsia="方正小标宋简体" w:cs="方正小标宋简体"/>
          <w:b w:val="0"/>
          <w:bCs w:val="0"/>
          <w:i w:val="0"/>
          <w:iCs w:val="0"/>
          <w:caps w:val="0"/>
          <w:color w:val="212529"/>
          <w:spacing w:val="0"/>
          <w:sz w:val="44"/>
          <w:szCs w:val="44"/>
          <w:shd w:val="clear" w:fill="FFFFFF"/>
        </w:rPr>
        <w:t>关于《满洲里市文化和旅游行业信用评价和信用分级分类监督管理制度（征求意见稿）》的政策解读</w:t>
      </w:r>
    </w:p>
    <w:p>
      <w:pPr>
        <w:rPr>
          <w:rFonts w:hint="eastAsia"/>
        </w:rPr>
      </w:pP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sz w:val="21"/>
          <w:szCs w:val="21"/>
        </w:rPr>
      </w:pPr>
      <w:r>
        <w:rPr>
          <w:rFonts w:ascii="黑体" w:hAnsi="宋体" w:eastAsia="黑体" w:cs="黑体"/>
          <w:i w:val="0"/>
          <w:iCs w:val="0"/>
          <w:caps w:val="0"/>
          <w:color w:val="212529"/>
          <w:spacing w:val="0"/>
          <w:kern w:val="0"/>
          <w:sz w:val="32"/>
          <w:szCs w:val="32"/>
          <w:shd w:val="clear" w:fill="FFFFFF"/>
          <w:lang w:val="en-US" w:eastAsia="zh-CN" w:bidi="ar"/>
        </w:rPr>
        <w:t>一、背景</w:t>
      </w:r>
      <w:r>
        <w:rPr>
          <w:rFonts w:hint="eastAsia" w:ascii="黑体" w:hAnsi="宋体" w:eastAsia="黑体" w:cs="黑体"/>
          <w:i w:val="0"/>
          <w:iCs w:val="0"/>
          <w:caps w:val="0"/>
          <w:color w:val="212529"/>
          <w:spacing w:val="0"/>
          <w:kern w:val="0"/>
          <w:sz w:val="32"/>
          <w:szCs w:val="32"/>
          <w:shd w:val="clear" w:fill="FFFFFF"/>
          <w:lang w:val="en-US" w:eastAsia="zh-CN" w:bidi="ar"/>
        </w:rPr>
        <w:t>依据</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sz w:val="21"/>
          <w:szCs w:val="21"/>
        </w:rPr>
      </w:pPr>
      <w:r>
        <w:rPr>
          <w:rFonts w:hint="eastAsia" w:ascii="仿宋_GB2312" w:hAnsi="Calibri" w:eastAsia="仿宋_GB2312" w:cs="仿宋_GB2312"/>
          <w:i w:val="0"/>
          <w:iCs w:val="0"/>
          <w:caps w:val="0"/>
          <w:color w:val="212529"/>
          <w:spacing w:val="0"/>
          <w:kern w:val="0"/>
          <w:sz w:val="32"/>
          <w:szCs w:val="32"/>
          <w:shd w:val="clear" w:fill="FFFFFF"/>
          <w:lang w:val="en-US" w:eastAsia="zh-CN" w:bidi="ar"/>
        </w:rPr>
        <w:t>以习近平新时代中国特色社会主义思想为指导，深入贯彻党的二十大和二十届一中全会精神，全面落实习近平总书记关于旅游工作的重要指示批示精神，坚持以人民为中心，以铸牢中华民族共同体意识为主线，把满足人民旅游需求、提升旅游质量作为旅游工作的出发点和落脚点，贯彻新发展理念、服务和融入新发展格局，补短板、强弱项，构建文化和旅游行业信用监管体系，不断改善文旅产业发展环境与消费环境，推动文旅产业高质量发展，。</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宋体" w:eastAsia="黑体" w:cs="黑体"/>
          <w:i w:val="0"/>
          <w:iCs w:val="0"/>
          <w:caps w:val="0"/>
          <w:color w:val="212529"/>
          <w:spacing w:val="0"/>
          <w:kern w:val="0"/>
          <w:sz w:val="32"/>
          <w:szCs w:val="32"/>
          <w:shd w:val="clear" w:fill="FFFFFF"/>
          <w:lang w:val="en-US" w:eastAsia="zh-CN" w:bidi="ar"/>
        </w:rPr>
      </w:pPr>
      <w:r>
        <w:rPr>
          <w:rFonts w:hint="eastAsia" w:ascii="黑体" w:hAnsi="宋体" w:eastAsia="黑体" w:cs="黑体"/>
          <w:i w:val="0"/>
          <w:iCs w:val="0"/>
          <w:caps w:val="0"/>
          <w:color w:val="212529"/>
          <w:spacing w:val="0"/>
          <w:kern w:val="0"/>
          <w:sz w:val="32"/>
          <w:szCs w:val="32"/>
          <w:shd w:val="clear" w:fill="FFFFFF"/>
          <w:lang w:val="en-US" w:eastAsia="zh-CN" w:bidi="ar"/>
        </w:rPr>
        <w:t>目标任务</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default" w:ascii="Calibri" w:hAnsi="Calibri" w:cs="Calibri"/>
          <w:sz w:val="21"/>
          <w:szCs w:val="21"/>
        </w:rPr>
      </w:pPr>
      <w:r>
        <w:rPr>
          <w:rFonts w:hint="eastAsia" w:ascii="仿宋_GB2312" w:hAnsi="Calibri" w:eastAsia="仿宋_GB2312" w:cs="仿宋_GB2312"/>
          <w:i w:val="0"/>
          <w:iCs w:val="0"/>
          <w:caps w:val="0"/>
          <w:color w:val="212529"/>
          <w:spacing w:val="0"/>
          <w:kern w:val="0"/>
          <w:sz w:val="32"/>
          <w:szCs w:val="32"/>
          <w:shd w:val="clear" w:fill="FFFFFF"/>
          <w:lang w:val="en-US" w:eastAsia="zh-CN" w:bidi="ar"/>
        </w:rPr>
        <w:t>为推进我市文化和旅游市场诚信工程和信用体系建设，贯彻落实“信用+监管”机制，加强事中事后监管，倡导诚实守信的社会氛围，有效惩戒失信行为，根据《国务院办公厅关于加快推进社会信用体系建设构建以信用为基础的新型监管机制的指导意见》《文化和旅游市场信用管理规定》《优化营商环境条例》等规定以及上级部门有关工作的部署要求,结合我市文旅工作开展实际,制定本制度。</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三、主要内容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Calibri" w:eastAsia="仿宋_GB2312" w:cs="仿宋_GB2312"/>
          <w:i w:val="0"/>
          <w:iCs w:val="0"/>
          <w:caps w:val="0"/>
          <w:color w:val="212529"/>
          <w:spacing w:val="0"/>
          <w:kern w:val="0"/>
          <w:sz w:val="32"/>
          <w:szCs w:val="32"/>
          <w:shd w:val="clear" w:fill="FFFFFF"/>
          <w:lang w:val="en-US" w:eastAsia="zh-CN" w:bidi="ar"/>
        </w:rPr>
      </w:pPr>
      <w:r>
        <w:rPr>
          <w:rFonts w:hint="eastAsia" w:ascii="仿宋_GB2312" w:hAnsi="Calibri" w:eastAsia="仿宋_GB2312" w:cs="仿宋_GB2312"/>
          <w:i w:val="0"/>
          <w:iCs w:val="0"/>
          <w:caps w:val="0"/>
          <w:color w:val="212529"/>
          <w:spacing w:val="0"/>
          <w:kern w:val="0"/>
          <w:sz w:val="32"/>
          <w:szCs w:val="32"/>
          <w:shd w:val="clear" w:fill="FFFFFF"/>
          <w:lang w:val="en-US" w:eastAsia="zh-CN" w:bidi="ar"/>
        </w:rPr>
        <w:t>根据文化和旅游领域执法监督职责权限，遵循守信激励和失信惩戒的精神，对全市依法申请成立或备案的从事文化和旅游经营活动的市场主体信用等级分为A级信用优良、B级轻微失信、C级严重失信三个等级，对不同信用等级的市场主体实施分类管理和服务，每个月文旅领域信用分级分类监管的主管部门对全市文旅市场主体进行一次信用评级。</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四、涉及范围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w:t>
      </w:r>
      <w:r>
        <w:rPr>
          <w:rFonts w:hint="eastAsia" w:ascii="仿宋_GB2312" w:hAnsi="仿宋_GB2312" w:eastAsia="仿宋_GB2312" w:cs="仿宋_GB2312"/>
          <w:sz w:val="32"/>
          <w:szCs w:val="32"/>
          <w:lang w:eastAsia="zh-CN"/>
        </w:rPr>
        <w:t>制度</w:t>
      </w:r>
      <w:r>
        <w:rPr>
          <w:rFonts w:hint="eastAsia" w:ascii="仿宋_GB2312" w:hAnsi="仿宋_GB2312" w:eastAsia="仿宋_GB2312" w:cs="仿宋_GB2312"/>
          <w:sz w:val="32"/>
          <w:szCs w:val="32"/>
        </w:rPr>
        <w:t>适用于在</w:t>
      </w:r>
      <w:r>
        <w:rPr>
          <w:rFonts w:hint="eastAsia" w:ascii="仿宋_GB2312" w:hAnsi="仿宋_GB2312" w:eastAsia="仿宋_GB2312" w:cs="仿宋_GB2312"/>
          <w:sz w:val="32"/>
          <w:szCs w:val="32"/>
          <w:lang w:eastAsia="zh-CN"/>
        </w:rPr>
        <w:t>满洲里市</w:t>
      </w:r>
      <w:r>
        <w:rPr>
          <w:rFonts w:hint="eastAsia" w:ascii="仿宋_GB2312" w:hAnsi="仿宋_GB2312" w:eastAsia="仿宋_GB2312" w:cs="仿宋_GB2312"/>
          <w:sz w:val="32"/>
          <w:szCs w:val="32"/>
        </w:rPr>
        <w:t>行政区域内</w:t>
      </w:r>
      <w:r>
        <w:rPr>
          <w:rFonts w:hint="eastAsia" w:ascii="仿宋_GB2312" w:hAnsi="仿宋_GB2312" w:eastAsia="仿宋_GB2312" w:cs="仿宋_GB2312"/>
          <w:sz w:val="32"/>
          <w:szCs w:val="32"/>
          <w:lang w:eastAsia="zh-CN"/>
        </w:rPr>
        <w:t>依法申请成立或备案的从事文化和旅游经营活动的市场主体，主要包括全市从事营业性演出、娱乐场所、互联网上网服务等从事文化经营活动的企业和个体工商户；旅行社、A级旅游景区、星级（等级）旅游住宿企业等从事旅游经营服务的企事业、个体工商户和通过互联网等信息网络从事提供在线旅游服务或者产品的经营者。</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黑体" w:hAnsi="宋体" w:eastAsia="黑体" w:cs="黑体"/>
          <w:i w:val="0"/>
          <w:iCs w:val="0"/>
          <w:caps w:val="0"/>
          <w:color w:val="212529"/>
          <w:spacing w:val="0"/>
          <w:kern w:val="0"/>
          <w:sz w:val="32"/>
          <w:szCs w:val="32"/>
          <w:shd w:val="clear" w:fill="FFFFFF"/>
          <w:lang w:val="en-US" w:eastAsia="zh-CN" w:bidi="ar"/>
        </w:rPr>
      </w:pPr>
      <w:r>
        <w:rPr>
          <w:rFonts w:hint="eastAsia" w:ascii="黑体" w:hAnsi="宋体" w:eastAsia="黑体" w:cs="黑体"/>
          <w:i w:val="0"/>
          <w:iCs w:val="0"/>
          <w:caps w:val="0"/>
          <w:color w:val="212529"/>
          <w:spacing w:val="0"/>
          <w:kern w:val="0"/>
          <w:sz w:val="32"/>
          <w:szCs w:val="32"/>
          <w:shd w:val="clear" w:fill="FFFFFF"/>
          <w:lang w:val="en-US" w:eastAsia="zh-CN" w:bidi="ar"/>
        </w:rPr>
        <w:t>执行标准</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sz w:val="32"/>
          <w:szCs w:val="32"/>
        </w:rPr>
        <w:t>依法申请成立或备案</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从事文化和旅游经营活动的市场主体及人员信用等级的认定：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（一）A 级信用优良</w:t>
      </w:r>
      <w:r>
        <w:rPr>
          <w:rFonts w:hint="eastAsia" w:ascii="仿宋_GB2312" w:hAnsi="仿宋_GB2312" w:eastAsia="仿宋_GB2312" w:cs="仿宋_GB2312"/>
          <w:sz w:val="32"/>
          <w:szCs w:val="32"/>
          <w:lang w:eastAsia="zh-CN"/>
        </w:rPr>
        <w:t>主体</w:t>
      </w:r>
      <w:r>
        <w:rPr>
          <w:rFonts w:hint="eastAsia" w:ascii="仿宋_GB2312" w:hAnsi="仿宋_GB2312" w:eastAsia="仿宋_GB2312" w:cs="仿宋_GB2312"/>
          <w:sz w:val="32"/>
          <w:szCs w:val="32"/>
        </w:rPr>
        <w:t>应当同时具备以下条件：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本月未</w:t>
      </w:r>
      <w:r>
        <w:rPr>
          <w:rFonts w:hint="eastAsia" w:ascii="仿宋_GB2312" w:hAnsi="仿宋_GB2312" w:eastAsia="仿宋_GB2312" w:cs="仿宋_GB2312"/>
          <w:sz w:val="32"/>
          <w:szCs w:val="32"/>
        </w:rPr>
        <w:t>出现</w:t>
      </w:r>
      <w:r>
        <w:rPr>
          <w:rFonts w:hint="eastAsia" w:ascii="仿宋_GB2312" w:hAnsi="仿宋_GB2312" w:eastAsia="仿宋_GB2312" w:cs="仿宋_GB2312"/>
          <w:sz w:val="32"/>
          <w:szCs w:val="32"/>
          <w:lang w:eastAsia="zh-CN"/>
        </w:rPr>
        <w:t>被有关部门</w:t>
      </w:r>
      <w:r>
        <w:rPr>
          <w:rFonts w:hint="eastAsia" w:ascii="仿宋_GB2312" w:hAnsi="仿宋_GB2312" w:eastAsia="仿宋_GB2312" w:cs="仿宋_GB2312"/>
          <w:sz w:val="32"/>
          <w:szCs w:val="32"/>
        </w:rPr>
        <w:t>责令（限期）</w:t>
      </w:r>
      <w:r>
        <w:rPr>
          <w:rFonts w:hint="eastAsia" w:ascii="仿宋_GB2312" w:hAnsi="仿宋_GB2312" w:eastAsia="仿宋_GB2312" w:cs="仿宋_GB2312"/>
          <w:sz w:val="32"/>
          <w:szCs w:val="32"/>
          <w:lang w:eastAsia="zh-CN"/>
        </w:rPr>
        <w:t>整改</w:t>
      </w:r>
      <w:r>
        <w:rPr>
          <w:rFonts w:hint="eastAsia" w:ascii="仿宋_GB2312" w:hAnsi="仿宋_GB2312" w:eastAsia="仿宋_GB2312" w:cs="仿宋_GB2312"/>
          <w:sz w:val="32"/>
          <w:szCs w:val="32"/>
        </w:rPr>
        <w:t>、警告等情形的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未被行政处罚的</w:t>
      </w:r>
      <w:r>
        <w:rPr>
          <w:rFonts w:hint="eastAsia" w:ascii="仿宋_GB2312" w:hAnsi="仿宋_GB2312" w:eastAsia="仿宋_GB2312" w:cs="仿宋_GB2312"/>
          <w:sz w:val="32"/>
          <w:szCs w:val="32"/>
          <w:lang w:eastAsia="zh-CN"/>
        </w:rPr>
        <w:t>；涉及</w:t>
      </w:r>
      <w:r>
        <w:rPr>
          <w:rFonts w:hint="eastAsia" w:ascii="仿宋_GB2312" w:hAnsi="仿宋_GB2312" w:eastAsia="仿宋_GB2312" w:cs="仿宋_GB2312"/>
          <w:sz w:val="32"/>
          <w:szCs w:val="32"/>
        </w:rPr>
        <w:t>投诉举报</w:t>
      </w:r>
      <w:r>
        <w:rPr>
          <w:rFonts w:hint="eastAsia" w:ascii="仿宋_GB2312" w:hAnsi="仿宋_GB2312" w:eastAsia="仿宋_GB2312" w:cs="仿宋_GB2312"/>
          <w:sz w:val="32"/>
          <w:szCs w:val="32"/>
          <w:lang w:eastAsia="zh-CN"/>
        </w:rPr>
        <w:t>能够</w:t>
      </w:r>
      <w:r>
        <w:rPr>
          <w:rFonts w:hint="eastAsia" w:ascii="仿宋_GB2312" w:hAnsi="仿宋_GB2312" w:eastAsia="仿宋_GB2312" w:cs="仿宋_GB2312"/>
          <w:sz w:val="32"/>
          <w:szCs w:val="32"/>
        </w:rPr>
        <w:t>积极处理</w:t>
      </w:r>
      <w:r>
        <w:rPr>
          <w:rFonts w:hint="eastAsia" w:ascii="仿宋_GB2312" w:hAnsi="仿宋_GB2312" w:eastAsia="仿宋_GB2312" w:cs="仿宋_GB2312"/>
          <w:sz w:val="32"/>
          <w:szCs w:val="32"/>
          <w:lang w:eastAsia="zh-CN"/>
        </w:rPr>
        <w:t>且未出现</w:t>
      </w:r>
      <w:r>
        <w:rPr>
          <w:rFonts w:hint="eastAsia" w:ascii="仿宋_GB2312" w:hAnsi="仿宋_GB2312" w:eastAsia="仿宋_GB2312" w:cs="仿宋_GB2312"/>
          <w:sz w:val="32"/>
          <w:szCs w:val="32"/>
        </w:rPr>
        <w:t>拒绝、阻挠执法</w:t>
      </w:r>
      <w:r>
        <w:rPr>
          <w:rFonts w:hint="eastAsia" w:ascii="仿宋_GB2312" w:hAnsi="仿宋_GB2312" w:eastAsia="仿宋_GB2312" w:cs="仿宋_GB2312"/>
          <w:sz w:val="32"/>
          <w:szCs w:val="32"/>
          <w:lang w:eastAsia="zh-CN"/>
        </w:rPr>
        <w:t>情况的。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（二）B级</w:t>
      </w:r>
      <w:r>
        <w:rPr>
          <w:rFonts w:hint="eastAsia" w:ascii="仿宋_GB2312" w:hAnsi="仿宋_GB2312" w:eastAsia="仿宋_GB2312" w:cs="仿宋_GB2312"/>
          <w:sz w:val="32"/>
          <w:szCs w:val="32"/>
          <w:lang w:eastAsia="zh-CN"/>
        </w:rPr>
        <w:t>轻微</w:t>
      </w:r>
      <w:r>
        <w:rPr>
          <w:rFonts w:hint="eastAsia" w:ascii="仿宋_GB2312" w:hAnsi="仿宋_GB2312" w:eastAsia="仿宋_GB2312" w:cs="仿宋_GB2312"/>
          <w:sz w:val="32"/>
          <w:szCs w:val="32"/>
        </w:rPr>
        <w:t>失信</w:t>
      </w:r>
      <w:r>
        <w:rPr>
          <w:rFonts w:hint="eastAsia" w:ascii="仿宋_GB2312" w:hAnsi="仿宋_GB2312" w:eastAsia="仿宋_GB2312" w:cs="仿宋_GB2312"/>
          <w:sz w:val="32"/>
          <w:szCs w:val="32"/>
          <w:lang w:eastAsia="zh-CN"/>
        </w:rPr>
        <w:t>主体</w:t>
      </w:r>
      <w:r>
        <w:rPr>
          <w:rFonts w:hint="eastAsia" w:ascii="仿宋_GB2312" w:hAnsi="仿宋_GB2312" w:eastAsia="仿宋_GB2312" w:cs="仿宋_GB2312"/>
          <w:sz w:val="32"/>
          <w:szCs w:val="32"/>
        </w:rPr>
        <w:t>出现以下条件之一的：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本月</w:t>
      </w:r>
      <w:r>
        <w:rPr>
          <w:rFonts w:hint="eastAsia" w:ascii="仿宋_GB2312" w:hAnsi="仿宋_GB2312" w:eastAsia="仿宋_GB2312" w:cs="仿宋_GB2312"/>
          <w:sz w:val="32"/>
          <w:szCs w:val="32"/>
        </w:rPr>
        <w:t>内</w:t>
      </w:r>
      <w:r>
        <w:rPr>
          <w:rFonts w:hint="eastAsia" w:ascii="仿宋_GB2312" w:hAnsi="仿宋_GB2312" w:eastAsia="仿宋_GB2312" w:cs="仿宋_GB2312"/>
          <w:sz w:val="32"/>
          <w:szCs w:val="32"/>
          <w:lang w:eastAsia="zh-CN"/>
        </w:rPr>
        <w:t>被有关部门</w:t>
      </w:r>
      <w:r>
        <w:rPr>
          <w:rFonts w:hint="eastAsia" w:ascii="仿宋_GB2312" w:hAnsi="仿宋_GB2312" w:eastAsia="仿宋_GB2312" w:cs="仿宋_GB2312"/>
          <w:sz w:val="32"/>
          <w:szCs w:val="32"/>
        </w:rPr>
        <w:t>责令（限期）</w:t>
      </w:r>
      <w:r>
        <w:rPr>
          <w:rFonts w:hint="eastAsia" w:ascii="仿宋_GB2312" w:hAnsi="仿宋_GB2312" w:eastAsia="仿宋_GB2312" w:cs="仿宋_GB2312"/>
          <w:sz w:val="32"/>
          <w:szCs w:val="32"/>
          <w:lang w:eastAsia="zh-CN"/>
        </w:rPr>
        <w:t>整改</w:t>
      </w:r>
      <w:r>
        <w:rPr>
          <w:rFonts w:hint="eastAsia" w:ascii="仿宋_GB2312" w:hAnsi="仿宋_GB2312" w:eastAsia="仿宋_GB2312" w:cs="仿宋_GB2312"/>
          <w:sz w:val="32"/>
          <w:szCs w:val="32"/>
        </w:rPr>
        <w:t>、警告累计次数</w:t>
      </w:r>
      <w:r>
        <w:rPr>
          <w:rFonts w:hint="eastAsia" w:ascii="仿宋_GB2312" w:hAnsi="仿宋_GB2312" w:eastAsia="仿宋_GB2312" w:cs="仿宋_GB2312"/>
          <w:sz w:val="32"/>
          <w:szCs w:val="32"/>
          <w:lang w:val="en-US"/>
        </w:rPr>
        <w:t>3</w:t>
      </w:r>
      <w:r>
        <w:rPr>
          <w:rFonts w:hint="eastAsia" w:ascii="仿宋_GB2312" w:hAnsi="仿宋_GB2312" w:eastAsia="仿宋_GB2312" w:cs="仿宋_GB2312"/>
          <w:sz w:val="32"/>
          <w:szCs w:val="32"/>
        </w:rPr>
        <w:t>次（不含）以内的；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本月</w:t>
      </w:r>
      <w:r>
        <w:rPr>
          <w:rFonts w:hint="eastAsia" w:ascii="仿宋_GB2312" w:hAnsi="仿宋_GB2312" w:eastAsia="仿宋_GB2312" w:cs="仿宋_GB2312"/>
          <w:sz w:val="32"/>
          <w:szCs w:val="32"/>
        </w:rPr>
        <w:t>内发生</w:t>
      </w:r>
      <w:r>
        <w:rPr>
          <w:rFonts w:hint="eastAsia" w:ascii="仿宋_GB2312" w:hAnsi="仿宋_GB2312" w:eastAsia="仿宋_GB2312" w:cs="仿宋_GB2312"/>
          <w:sz w:val="32"/>
          <w:szCs w:val="32"/>
          <w:lang w:eastAsia="zh-CN"/>
        </w:rPr>
        <w:t>过</w:t>
      </w:r>
      <w:r>
        <w:rPr>
          <w:rFonts w:hint="eastAsia" w:ascii="仿宋_GB2312" w:hAnsi="仿宋_GB2312" w:eastAsia="仿宋_GB2312" w:cs="仿宋_GB2312"/>
          <w:sz w:val="32"/>
          <w:szCs w:val="32"/>
        </w:rPr>
        <w:t>行政处罚案件</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次</w:t>
      </w:r>
      <w:r>
        <w:rPr>
          <w:rFonts w:hint="eastAsia" w:ascii="仿宋_GB2312" w:hAnsi="仿宋_GB2312" w:eastAsia="仿宋_GB2312" w:cs="仿宋_GB2312"/>
          <w:sz w:val="32"/>
          <w:szCs w:val="32"/>
          <w:lang w:eastAsia="zh-CN"/>
        </w:rPr>
        <w:t>（不含）以内的</w:t>
      </w:r>
      <w:r>
        <w:rPr>
          <w:rFonts w:hint="eastAsia" w:ascii="仿宋_GB2312" w:hAnsi="仿宋_GB2312" w:eastAsia="仿宋_GB2312" w:cs="仿宋_GB2312"/>
          <w:sz w:val="32"/>
          <w:szCs w:val="32"/>
        </w:rPr>
        <w:t>，且罚没款金额累计不超过</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.本月内</w:t>
      </w:r>
      <w:r>
        <w:rPr>
          <w:rFonts w:hint="eastAsia" w:ascii="仿宋_GB2312" w:hAnsi="仿宋_GB2312" w:eastAsia="仿宋_GB2312" w:cs="仿宋_GB2312"/>
          <w:sz w:val="32"/>
          <w:szCs w:val="32"/>
        </w:rPr>
        <w:t>被投诉举报且不积极处理</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次（不含）以内的</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（三）C级</w:t>
      </w:r>
      <w:r>
        <w:rPr>
          <w:rFonts w:hint="eastAsia" w:ascii="仿宋_GB2312" w:hAnsi="仿宋_GB2312" w:eastAsia="仿宋_GB2312" w:cs="仿宋_GB2312"/>
          <w:sz w:val="32"/>
          <w:szCs w:val="32"/>
          <w:lang w:eastAsia="zh-CN"/>
        </w:rPr>
        <w:t>严重</w:t>
      </w:r>
      <w:r>
        <w:rPr>
          <w:rFonts w:hint="eastAsia" w:ascii="仿宋_GB2312" w:hAnsi="仿宋_GB2312" w:eastAsia="仿宋_GB2312" w:cs="仿宋_GB2312"/>
          <w:sz w:val="32"/>
          <w:szCs w:val="32"/>
        </w:rPr>
        <w:t>失信</w:t>
      </w:r>
      <w:r>
        <w:rPr>
          <w:rFonts w:hint="eastAsia" w:ascii="仿宋_GB2312" w:hAnsi="仿宋_GB2312" w:eastAsia="仿宋_GB2312" w:cs="仿宋_GB2312"/>
          <w:sz w:val="32"/>
          <w:szCs w:val="32"/>
          <w:lang w:eastAsia="zh-CN"/>
        </w:rPr>
        <w:t>主体</w:t>
      </w:r>
      <w:r>
        <w:rPr>
          <w:rFonts w:hint="eastAsia" w:ascii="仿宋_GB2312" w:hAnsi="仿宋_GB2312" w:eastAsia="仿宋_GB2312" w:cs="仿宋_GB2312"/>
          <w:sz w:val="32"/>
          <w:szCs w:val="32"/>
        </w:rPr>
        <w:t>出现以下条件之一的：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本月</w:t>
      </w:r>
      <w:r>
        <w:rPr>
          <w:rFonts w:hint="eastAsia" w:ascii="仿宋_GB2312" w:hAnsi="仿宋_GB2312" w:eastAsia="仿宋_GB2312" w:cs="仿宋_GB2312"/>
          <w:sz w:val="32"/>
          <w:szCs w:val="32"/>
        </w:rPr>
        <w:t>超出（二）项</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条内容处理违法违规行为次数；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本月出现</w:t>
      </w:r>
      <w:r>
        <w:rPr>
          <w:rFonts w:hint="eastAsia" w:ascii="仿宋_GB2312" w:hAnsi="仿宋_GB2312" w:eastAsia="仿宋_GB2312" w:cs="仿宋_GB2312"/>
          <w:sz w:val="32"/>
          <w:szCs w:val="32"/>
          <w:lang w:val="en-US" w:eastAsia="zh-CN"/>
        </w:rPr>
        <w:t>1次或以上次数</w:t>
      </w:r>
      <w:r>
        <w:rPr>
          <w:rFonts w:hint="eastAsia" w:ascii="仿宋_GB2312" w:hAnsi="仿宋_GB2312" w:eastAsia="仿宋_GB2312" w:cs="仿宋_GB2312"/>
          <w:sz w:val="32"/>
          <w:szCs w:val="32"/>
        </w:rPr>
        <w:t>严重阻挠执法、暴力抗法、拒不执行的</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对同一违法行为的处理决定同时包括多个不同种类和幅度的，以最重的种类和幅度确定失信行为的严重程度。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同一处理决定中包含多个违法行为的，应当对每个违法行为分别确定其失信严重程度。</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黑体" w:hAnsi="宋体" w:eastAsia="黑体" w:cs="黑体"/>
          <w:i w:val="0"/>
          <w:iCs w:val="0"/>
          <w:caps w:val="0"/>
          <w:color w:val="212529"/>
          <w:spacing w:val="0"/>
          <w:kern w:val="0"/>
          <w:sz w:val="32"/>
          <w:szCs w:val="32"/>
          <w:shd w:val="clear" w:fill="FFFFFF"/>
          <w:lang w:val="en-US" w:eastAsia="zh-CN" w:bidi="ar"/>
        </w:rPr>
      </w:pPr>
      <w:r>
        <w:rPr>
          <w:rFonts w:hint="eastAsia" w:ascii="黑体" w:hAnsi="宋体" w:eastAsia="黑体" w:cs="黑体"/>
          <w:i w:val="0"/>
          <w:iCs w:val="0"/>
          <w:caps w:val="0"/>
          <w:color w:val="212529"/>
          <w:spacing w:val="0"/>
          <w:kern w:val="0"/>
          <w:sz w:val="32"/>
          <w:szCs w:val="32"/>
          <w:shd w:val="clear" w:fill="FFFFFF"/>
          <w:lang w:val="en-US" w:eastAsia="zh-CN" w:bidi="ar"/>
        </w:rPr>
        <w:t>六、注意事项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w:t>
      </w:r>
      <w:r>
        <w:rPr>
          <w:rFonts w:hint="eastAsia" w:ascii="仿宋_GB2312" w:hAnsi="仿宋_GB2312" w:eastAsia="仿宋_GB2312" w:cs="仿宋_GB2312"/>
          <w:sz w:val="32"/>
          <w:szCs w:val="32"/>
          <w:lang w:eastAsia="zh-CN"/>
        </w:rPr>
        <w:t>于</w:t>
      </w:r>
      <w:r>
        <w:rPr>
          <w:rFonts w:hint="eastAsia" w:ascii="仿宋_GB2312" w:hAnsi="仿宋_GB2312" w:eastAsia="仿宋_GB2312" w:cs="仿宋_GB2312"/>
          <w:sz w:val="32"/>
          <w:szCs w:val="32"/>
        </w:rPr>
        <w:t>列入文化和旅游领域B级</w:t>
      </w:r>
      <w:r>
        <w:rPr>
          <w:rFonts w:hint="eastAsia" w:ascii="仿宋_GB2312" w:hAnsi="仿宋_GB2312" w:eastAsia="仿宋_GB2312" w:cs="仿宋_GB2312"/>
          <w:sz w:val="32"/>
          <w:szCs w:val="32"/>
          <w:lang w:eastAsia="zh-CN"/>
        </w:rPr>
        <w:t>轻微</w:t>
      </w:r>
      <w:r>
        <w:rPr>
          <w:rFonts w:hint="eastAsia" w:ascii="仿宋_GB2312" w:hAnsi="仿宋_GB2312" w:eastAsia="仿宋_GB2312" w:cs="仿宋_GB2312"/>
          <w:sz w:val="32"/>
          <w:szCs w:val="32"/>
        </w:rPr>
        <w:t>失信</w:t>
      </w:r>
      <w:r>
        <w:rPr>
          <w:rFonts w:hint="eastAsia" w:ascii="仿宋_GB2312" w:hAnsi="仿宋_GB2312" w:eastAsia="仿宋_GB2312" w:cs="仿宋_GB2312"/>
          <w:sz w:val="32"/>
          <w:szCs w:val="32"/>
          <w:lang w:eastAsia="zh-CN"/>
        </w:rPr>
        <w:t>或</w:t>
      </w:r>
      <w:r>
        <w:rPr>
          <w:rFonts w:hint="eastAsia" w:ascii="仿宋_GB2312" w:hAnsi="仿宋_GB2312" w:eastAsia="仿宋_GB2312" w:cs="仿宋_GB2312"/>
          <w:sz w:val="32"/>
          <w:szCs w:val="32"/>
        </w:rPr>
        <w:t>C级严重失信的</w:t>
      </w:r>
      <w:r>
        <w:rPr>
          <w:rFonts w:hint="eastAsia" w:ascii="仿宋_GB2312" w:hAnsi="仿宋_GB2312" w:eastAsia="仿宋_GB2312" w:cs="仿宋_GB2312"/>
          <w:sz w:val="32"/>
          <w:szCs w:val="32"/>
          <w:lang w:eastAsia="zh-CN"/>
        </w:rPr>
        <w:t>市场主体，</w:t>
      </w:r>
      <w:r>
        <w:rPr>
          <w:rFonts w:hint="eastAsia" w:ascii="仿宋_GB2312" w:hAnsi="仿宋_GB2312" w:eastAsia="仿宋_GB2312" w:cs="仿宋_GB2312"/>
          <w:sz w:val="32"/>
          <w:szCs w:val="32"/>
        </w:rPr>
        <w:t>在其违法违规行为得到改正后，经书面申请、作出信用承诺，并参加</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次满洲里市文旅相关</w:t>
      </w:r>
      <w:r>
        <w:rPr>
          <w:rFonts w:hint="eastAsia" w:ascii="仿宋_GB2312" w:hAnsi="仿宋_GB2312" w:eastAsia="仿宋_GB2312" w:cs="仿宋_GB2312"/>
          <w:sz w:val="32"/>
          <w:szCs w:val="32"/>
        </w:rPr>
        <w:t>活动</w:t>
      </w:r>
      <w:r>
        <w:rPr>
          <w:rFonts w:hint="eastAsia" w:ascii="仿宋_GB2312" w:hAnsi="仿宋_GB2312" w:eastAsia="仿宋_GB2312" w:cs="仿宋_GB2312"/>
          <w:sz w:val="32"/>
          <w:szCs w:val="32"/>
          <w:lang w:eastAsia="zh-CN"/>
        </w:rPr>
        <w:t>、会议或志愿服务</w:t>
      </w:r>
      <w:r>
        <w:rPr>
          <w:rFonts w:hint="eastAsia" w:ascii="仿宋_GB2312" w:hAnsi="仿宋_GB2312" w:eastAsia="仿宋_GB2312" w:cs="仿宋_GB2312"/>
          <w:sz w:val="32"/>
          <w:szCs w:val="32"/>
        </w:rPr>
        <w:t>的，信用可修复</w:t>
      </w:r>
      <w:r>
        <w:rPr>
          <w:rFonts w:hint="eastAsia" w:ascii="仿宋_GB2312" w:hAnsi="仿宋_GB2312" w:eastAsia="仿宋_GB2312" w:cs="仿宋_GB2312"/>
          <w:sz w:val="32"/>
          <w:szCs w:val="32"/>
          <w:lang w:eastAsia="zh-CN"/>
        </w:rPr>
        <w:t>一级</w:t>
      </w:r>
      <w:r>
        <w:rPr>
          <w:rFonts w:hint="eastAsia" w:ascii="仿宋_GB2312" w:hAnsi="仿宋_GB2312" w:eastAsia="仿宋_GB2312" w:cs="仿宋_GB2312"/>
          <w:sz w:val="32"/>
          <w:szCs w:val="32"/>
        </w:rPr>
        <w:t>。未进行信用修复的市场主体将保持信用等级到下个评价月</w:t>
      </w:r>
      <w:r>
        <w:rPr>
          <w:rFonts w:hint="eastAsia" w:ascii="仿宋_GB2312" w:hAnsi="仿宋_GB2312" w:eastAsia="仿宋_GB2312" w:cs="仿宋_GB2312"/>
          <w:sz w:val="32"/>
          <w:szCs w:val="32"/>
          <w:lang w:eastAsia="zh-CN"/>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黑体" w:hAnsi="宋体" w:eastAsia="黑体" w:cs="黑体"/>
          <w:i w:val="0"/>
          <w:iCs w:val="0"/>
          <w:caps w:val="0"/>
          <w:color w:val="212529"/>
          <w:spacing w:val="0"/>
          <w:kern w:val="0"/>
          <w:sz w:val="32"/>
          <w:szCs w:val="32"/>
          <w:shd w:val="clear" w:fill="FFFFFF"/>
          <w:lang w:val="en-US" w:eastAsia="zh-CN" w:bidi="ar"/>
        </w:rPr>
      </w:pPr>
      <w:r>
        <w:rPr>
          <w:rFonts w:hint="eastAsia" w:ascii="黑体" w:hAnsi="宋体" w:eastAsia="黑体" w:cs="黑体"/>
          <w:i w:val="0"/>
          <w:iCs w:val="0"/>
          <w:caps w:val="0"/>
          <w:color w:val="212529"/>
          <w:spacing w:val="0"/>
          <w:kern w:val="0"/>
          <w:sz w:val="32"/>
          <w:szCs w:val="32"/>
          <w:shd w:val="clear" w:fill="FFFFFF"/>
          <w:lang w:val="en-US" w:eastAsia="zh-CN" w:bidi="ar"/>
        </w:rPr>
        <w:t>关键词诠释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宋体" w:eastAsia="黑体" w:cs="黑体"/>
          <w:i w:val="0"/>
          <w:iCs w:val="0"/>
          <w:caps w:val="0"/>
          <w:color w:val="212529"/>
          <w:spacing w:val="0"/>
          <w:kern w:val="0"/>
          <w:sz w:val="32"/>
          <w:szCs w:val="32"/>
          <w:shd w:val="clear" w:fill="FFFFFF"/>
          <w:lang w:val="en-US" w:eastAsia="zh-CN" w:bidi="ar"/>
        </w:rPr>
      </w:pPr>
      <w:r>
        <w:rPr>
          <w:rFonts w:hint="eastAsia" w:ascii="仿宋_GB2312" w:hAnsi="仿宋_GB2312" w:eastAsia="仿宋_GB2312" w:cs="仿宋_GB2312"/>
          <w:sz w:val="32"/>
          <w:szCs w:val="32"/>
        </w:rPr>
        <w:t xml:space="preserve"> 信用监管分级分类，是指运用信用评价结果，对市场主体进行评级，并实施分级分类监管的过程。 </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Fonts w:hint="eastAsia" w:ascii="黑体" w:hAnsi="宋体" w:eastAsia="黑体" w:cs="黑体"/>
          <w:i w:val="0"/>
          <w:iCs w:val="0"/>
          <w:caps w:val="0"/>
          <w:color w:val="212529"/>
          <w:spacing w:val="0"/>
          <w:kern w:val="0"/>
          <w:sz w:val="32"/>
          <w:szCs w:val="32"/>
          <w:shd w:val="clear" w:fill="FFFFFF"/>
          <w:lang w:val="en-US" w:eastAsia="zh-CN" w:bidi="ar"/>
        </w:rPr>
      </w:pPr>
      <w:r>
        <w:rPr>
          <w:rFonts w:hint="eastAsia" w:ascii="黑体" w:hAnsi="宋体" w:eastAsia="黑体" w:cs="黑体"/>
          <w:i w:val="0"/>
          <w:iCs w:val="0"/>
          <w:caps w:val="0"/>
          <w:color w:val="212529"/>
          <w:spacing w:val="0"/>
          <w:kern w:val="0"/>
          <w:sz w:val="32"/>
          <w:szCs w:val="32"/>
          <w:shd w:val="clear" w:fill="FFFFFF"/>
          <w:lang w:val="en-US" w:eastAsia="zh-CN" w:bidi="ar"/>
        </w:rPr>
        <w:t>惠民利民举措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对信用等级评为A级的</w:t>
      </w:r>
      <w:r>
        <w:rPr>
          <w:rFonts w:hint="eastAsia" w:ascii="仿宋_GB2312" w:hAnsi="仿宋_GB2312" w:eastAsia="仿宋_GB2312" w:cs="仿宋_GB2312"/>
          <w:sz w:val="32"/>
          <w:szCs w:val="32"/>
          <w:lang w:eastAsia="zh-CN"/>
        </w:rPr>
        <w:t>文旅市场主体</w:t>
      </w:r>
      <w:r>
        <w:rPr>
          <w:rFonts w:hint="eastAsia" w:ascii="仿宋_GB2312" w:hAnsi="仿宋_GB2312" w:eastAsia="仿宋_GB2312" w:cs="仿宋_GB2312"/>
          <w:sz w:val="32"/>
          <w:szCs w:val="32"/>
        </w:rPr>
        <w:t>，实施下列激励措施：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（一）按照国家、自治区和市有关规定，符合条件的，在</w:t>
      </w:r>
      <w:r>
        <w:rPr>
          <w:rFonts w:hint="eastAsia" w:ascii="仿宋_GB2312" w:hAnsi="仿宋_GB2312" w:eastAsia="仿宋_GB2312" w:cs="仿宋_GB2312"/>
          <w:sz w:val="32"/>
          <w:szCs w:val="32"/>
          <w:lang w:eastAsia="zh-CN"/>
        </w:rPr>
        <w:t>“满洲里市文体旅游广电局”微信</w:t>
      </w:r>
      <w:r>
        <w:rPr>
          <w:rFonts w:hint="eastAsia" w:ascii="仿宋_GB2312" w:hAnsi="仿宋_GB2312" w:eastAsia="仿宋_GB2312" w:cs="仿宋_GB2312"/>
          <w:sz w:val="32"/>
          <w:szCs w:val="32"/>
        </w:rPr>
        <w:t>公众号等</w:t>
      </w:r>
      <w:r>
        <w:rPr>
          <w:rFonts w:hint="eastAsia" w:ascii="仿宋_GB2312" w:hAnsi="仿宋_GB2312" w:eastAsia="仿宋_GB2312" w:cs="仿宋_GB2312"/>
          <w:sz w:val="32"/>
          <w:szCs w:val="32"/>
          <w:lang w:eastAsia="zh-CN"/>
        </w:rPr>
        <w:t>平台</w:t>
      </w:r>
      <w:r>
        <w:rPr>
          <w:rFonts w:hint="eastAsia" w:ascii="仿宋_GB2312" w:hAnsi="仿宋_GB2312" w:eastAsia="仿宋_GB2312" w:cs="仿宋_GB2312"/>
          <w:sz w:val="32"/>
          <w:szCs w:val="32"/>
        </w:rPr>
        <w:t>展示相关信息,优先推介良好形象；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（二）除投诉举报和专项执法检查外，免予日常巡查检</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（三）在办理行政许可过程中，可根据实际情况实施“绿色通道”等便利服务措施；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（四）在政府采购、项目招投标、资格审查，资格认定等各类政府优惠政策中，优先考虑；</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宋体" w:eastAsia="黑体" w:cs="黑体"/>
          <w:i w:val="0"/>
          <w:iCs w:val="0"/>
          <w:caps w:val="0"/>
          <w:color w:val="212529"/>
          <w:spacing w:val="0"/>
          <w:kern w:val="0"/>
          <w:sz w:val="32"/>
          <w:szCs w:val="32"/>
          <w:shd w:val="clear" w:fill="FFFFFF"/>
          <w:lang w:val="en-US" w:eastAsia="zh-CN" w:bidi="ar"/>
        </w:rPr>
      </w:pPr>
      <w:r>
        <w:rPr>
          <w:rFonts w:hint="eastAsia" w:ascii="仿宋_GB2312" w:hAnsi="仿宋_GB2312" w:eastAsia="仿宋_GB2312" w:cs="仿宋_GB2312"/>
          <w:sz w:val="32"/>
          <w:szCs w:val="32"/>
        </w:rPr>
        <w:t>（五）法律、法规、规章和规范性文件规定的其他激励措施。</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八、政策解读员及咨询电话</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Calibri" w:hAnsi="Calibri" w:cs="Calibri"/>
          <w:sz w:val="21"/>
          <w:szCs w:val="21"/>
        </w:rPr>
      </w:pPr>
      <w:r>
        <w:rPr>
          <w:rFonts w:hint="eastAsia" w:ascii="仿宋_GB2312" w:hAnsi="Calibri" w:eastAsia="仿宋_GB2312" w:cs="仿宋_GB2312"/>
          <w:i w:val="0"/>
          <w:iCs w:val="0"/>
          <w:caps w:val="0"/>
          <w:color w:val="212529"/>
          <w:spacing w:val="0"/>
          <w:kern w:val="0"/>
          <w:sz w:val="32"/>
          <w:szCs w:val="32"/>
          <w:shd w:val="clear" w:fill="FFFFFF"/>
          <w:lang w:val="en-US" w:eastAsia="zh-CN" w:bidi="ar"/>
        </w:rPr>
        <w:t>如对本《管理制度》有不理解之处，可向满洲里市文体旅游广电局具体咨询，政策咨询电话：0470-6225290</w:t>
      </w:r>
      <w:bookmarkStart w:id="0" w:name="_GoBack"/>
      <w:bookmarkEnd w:id="0"/>
      <w:r>
        <w:rPr>
          <w:rFonts w:hint="eastAsia" w:ascii="仿宋_GB2312" w:hAnsi="Calibri" w:eastAsia="仿宋_GB2312" w:cs="仿宋_GB2312"/>
          <w:i w:val="0"/>
          <w:iCs w:val="0"/>
          <w:caps w:val="0"/>
          <w:color w:val="212529"/>
          <w:spacing w:val="0"/>
          <w:kern w:val="0"/>
          <w:sz w:val="32"/>
          <w:szCs w:val="32"/>
          <w:shd w:val="clear" w:fill="FFFFFF"/>
          <w:lang w:val="en-US" w:eastAsia="zh-CN" w:bidi="ar"/>
        </w:rPr>
        <w:t>（工作日9：00—12：00，14：30—17：30）。政策解读员：张志。</w:t>
      </w:r>
    </w:p>
    <w:p>
      <w:pPr>
        <w:keepNext w:val="0"/>
        <w:keepLines w:val="0"/>
        <w:pageBreakBefore w:val="0"/>
        <w:kinsoku/>
        <w:wordWrap/>
        <w:overflowPunct/>
        <w:topLinePunct w:val="0"/>
        <w:autoSpaceDE/>
        <w:autoSpaceDN/>
        <w:bidi w:val="0"/>
        <w:adjustRightInd/>
        <w:snapToGrid/>
        <w:spacing w:afterAutospacing="0" w:line="560" w:lineRule="exact"/>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athJax_Vector">
    <w:panose1 w:val="02000603000000000000"/>
    <w:charset w:val="00"/>
    <w:family w:val="auto"/>
    <w:pitch w:val="default"/>
    <w:sig w:usb0="00000001" w:usb1="0000002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87F0E"/>
    <w:multiLevelType w:val="singleLevel"/>
    <w:tmpl w:val="BF787F0E"/>
    <w:lvl w:ilvl="0" w:tentative="0">
      <w:start w:val="5"/>
      <w:numFmt w:val="chineseCounting"/>
      <w:suff w:val="nothing"/>
      <w:lvlText w:val="%1、"/>
      <w:lvlJc w:val="left"/>
      <w:rPr>
        <w:rFonts w:hint="eastAsia"/>
      </w:rPr>
    </w:lvl>
  </w:abstractNum>
  <w:abstractNum w:abstractNumId="1">
    <w:nsid w:val="F3CF0A3C"/>
    <w:multiLevelType w:val="singleLevel"/>
    <w:tmpl w:val="F3CF0A3C"/>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074C3B"/>
    <w:rsid w:val="3FF729E6"/>
    <w:rsid w:val="41074C3B"/>
    <w:rsid w:val="67CBBB7C"/>
    <w:rsid w:val="73DF3F8A"/>
    <w:rsid w:val="77BB4905"/>
    <w:rsid w:val="7BDB8185"/>
    <w:rsid w:val="BEED68FB"/>
    <w:rsid w:val="FDBF9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2025-05-15T01:37:00Z</dcterms:created>
  <dc:creator>sy琪</dc:creator>
  <cp:lastModifiedBy>user</cp:lastModifiedBy>
  <dcterms:modified xsi:type="dcterms:W3CDTF">2025-06-09T15:46:29Z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2B7745FA019E7FCE66BB3E683F54EF3F</vt:lpwstr>
  </property>
  <property fmtid="{D5CDD505-2E9C-101B-9397-08002B2CF9AE}" pid="4" name="KSOTemplateDocerSaveRecord">
    <vt:lpwstr>eyJoZGlkIjoiZmExOGE3ZjZjMjQ1NWI0MWI1N2I0ZmUxMjAyYjg0ZmUiLCJ1c2VySWQiOiIyODg0MTcwMDUifQ==</vt:lpwstr>
  </property>
</Properties>
</file>