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6C90FF">
      <w:pPr>
        <w:pStyle w:val="2"/>
        <w:rPr>
          <w:rFonts w:hint="eastAsia" w:eastAsia="仿宋_GB2312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附件：</w:t>
      </w:r>
    </w:p>
    <w:p w14:paraId="51435FEE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/>
        <w:jc w:val="center"/>
        <w:rPr>
          <w:rFonts w:hint="eastAsia" w:ascii="CESI黑体-GB13000" w:hAnsi="CESI黑体-GB13000" w:eastAsia="CESI黑体-GB13000" w:cs="CESI黑体-GB13000"/>
          <w:sz w:val="44"/>
          <w:szCs w:val="44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44"/>
          <w:szCs w:val="44"/>
          <w:lang w:val="en-US" w:eastAsia="zh-CN"/>
        </w:rPr>
        <w:t>2023年满洲里市耕地地力保护补贴</w:t>
      </w:r>
    </w:p>
    <w:p w14:paraId="15D0DAF2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/>
        <w:jc w:val="center"/>
        <w:rPr>
          <w:rFonts w:hint="eastAsia" w:ascii="CESI黑体-GB13000" w:hAnsi="CESI黑体-GB13000" w:eastAsia="CESI黑体-GB13000" w:cs="CESI黑体-GB13000"/>
          <w:sz w:val="44"/>
          <w:szCs w:val="44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44"/>
          <w:szCs w:val="44"/>
          <w:lang w:val="en-US" w:eastAsia="zh-CN"/>
        </w:rPr>
        <w:t>工作实施方案</w:t>
      </w:r>
    </w:p>
    <w:p w14:paraId="552A6151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/>
        <w:rPr>
          <w:rFonts w:hint="eastAsia"/>
          <w:lang w:val="en-US" w:eastAsia="zh-CN"/>
        </w:rPr>
      </w:pPr>
    </w:p>
    <w:p w14:paraId="247E08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持续推进耕地地力保护补贴与保护耕地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、残膜回收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相挂钩，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按照呼伦贝尔市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农牧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局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、财政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局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《关于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印发</w:t>
      </w: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highlight w:val="none"/>
          <w:lang w:val="en-US" w:eastAsia="zh-CN"/>
        </w:rPr>
        <w:t>&lt;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2023年呼伦贝尔市耕地地力保护补贴工作实施方案</w:t>
      </w:r>
      <w:r>
        <w:rPr>
          <w:rFonts w:hint="eastAsia" w:ascii="微软雅黑" w:hAnsi="微软雅黑" w:eastAsia="微软雅黑" w:cs="微软雅黑"/>
          <w:sz w:val="32"/>
          <w:szCs w:val="32"/>
          <w:highlight w:val="none"/>
          <w:lang w:val="en-US" w:eastAsia="zh-CN"/>
        </w:rPr>
        <w:t>&gt;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的通知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》（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呼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农牧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办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〕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96号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）精神，</w:t>
      </w:r>
      <w:r>
        <w:rPr>
          <w:rFonts w:hint="eastAsia" w:ascii="仿宋_GB2312" w:hAnsi="仿宋_GB2312" w:eastAsia="仿宋_GB2312" w:cs="仿宋_GB2312"/>
          <w:sz w:val="32"/>
          <w:szCs w:val="32"/>
        </w:rPr>
        <w:t>结合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满洲里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市</w:t>
      </w:r>
      <w:r>
        <w:rPr>
          <w:rFonts w:hint="eastAsia" w:ascii="仿宋_GB2312" w:hAnsi="仿宋_GB2312" w:eastAsia="仿宋_GB2312" w:cs="仿宋_GB2312"/>
          <w:sz w:val="32"/>
          <w:szCs w:val="32"/>
        </w:rPr>
        <w:t>耕地地力保护实际，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制定本实施方案。</w:t>
      </w:r>
    </w:p>
    <w:p w14:paraId="7D548FD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一、总体思路</w:t>
      </w:r>
    </w:p>
    <w:p w14:paraId="190F8650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line="560" w:lineRule="exact"/>
        <w:ind w:left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深入贯彻落实习近平总书记关于“三农”工作重要论述，坚持走生态优先、绿色发展为导向的高质量发展新路子，按照用养结合、保护利用、突出重点、综合施策、政府引导、社会参与的原则，</w:t>
      </w:r>
      <w:r>
        <w:rPr>
          <w:rFonts w:hint="eastAsia" w:ascii="仿宋_GB2312" w:hAnsi="仿宋_GB2312" w:eastAsia="仿宋_GB2312" w:cs="仿宋_GB2312"/>
          <w:sz w:val="32"/>
          <w:szCs w:val="32"/>
        </w:rPr>
        <w:t>立足当地资源禀赋，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强化政策扶持和科技支撑，引导农户采取耕地地力保护措施，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并将残膜回收与耕地地力保护补贴挂钩，对不回收残膜的，耕地地力保护补贴缓发或暂停发放，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切实加强农业生态资源保护，不断改善提升耕地地力，提高单产，促进我市现代农业绿色高质量发展。</w:t>
      </w:r>
    </w:p>
    <w:p w14:paraId="2CA8303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auto"/>
        <w:rPr>
          <w:rFonts w:hint="default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二、实施要求</w:t>
      </w:r>
    </w:p>
    <w:p w14:paraId="693DDD94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继续</w:t>
      </w:r>
      <w:r>
        <w:rPr>
          <w:rFonts w:hint="eastAsia" w:ascii="仿宋_GB2312" w:hAnsi="仿宋_GB2312" w:eastAsia="仿宋_GB2312" w:cs="仿宋_GB2312"/>
          <w:sz w:val="32"/>
          <w:szCs w:val="32"/>
        </w:rPr>
        <w:t>推进农业“三项补贴”由激励性补贴向功能性补贴转变、由覆盖性补贴向环节性补贴转变，提高补贴政策的指向性、精准性和实效性。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扎赉诺尔区、新开河镇要发挥补贴效能，</w:t>
      </w:r>
      <w:r>
        <w:rPr>
          <w:rFonts w:hint="eastAsia" w:ascii="仿宋_GB2312" w:hAnsi="仿宋_GB2312" w:eastAsia="仿宋_GB2312" w:cs="仿宋_GB2312"/>
          <w:sz w:val="32"/>
          <w:szCs w:val="32"/>
        </w:rPr>
        <w:t>以绿色生态为导向，将补贴资金与支持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农户</w:t>
      </w:r>
      <w:r>
        <w:rPr>
          <w:rFonts w:hint="eastAsia" w:ascii="仿宋_GB2312" w:hAnsi="仿宋_GB2312" w:eastAsia="仿宋_GB2312" w:cs="仿宋_GB2312"/>
          <w:sz w:val="32"/>
          <w:szCs w:val="32"/>
        </w:rPr>
        <w:t>采取保护耕地地力措施相挂钩，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调动农户</w:t>
      </w:r>
      <w:r>
        <w:rPr>
          <w:rFonts w:hint="eastAsia" w:ascii="仿宋_GB2312" w:hAnsi="仿宋_GB2312" w:eastAsia="仿宋_GB2312" w:cs="仿宋_GB2312"/>
          <w:sz w:val="32"/>
          <w:szCs w:val="32"/>
        </w:rPr>
        <w:t>采取秸秆还田、深松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整地、</w:t>
      </w:r>
      <w:r>
        <w:rPr>
          <w:rFonts w:hint="eastAsia" w:ascii="仿宋_GB2312" w:hAnsi="仿宋_GB2312" w:eastAsia="仿宋_GB2312" w:cs="仿宋_GB2312"/>
          <w:sz w:val="32"/>
          <w:szCs w:val="32"/>
        </w:rPr>
        <w:t>增施有机肥、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减施化肥农药</w:t>
      </w:r>
      <w:r>
        <w:rPr>
          <w:rFonts w:hint="eastAsia" w:ascii="仿宋_GB2312" w:hAnsi="仿宋_GB2312" w:eastAsia="仿宋_GB2312" w:cs="仿宋_GB2312"/>
          <w:sz w:val="32"/>
          <w:szCs w:val="32"/>
        </w:rPr>
        <w:t>等措施，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促进耕地地力措施落地，</w:t>
      </w:r>
      <w:r>
        <w:rPr>
          <w:rFonts w:hint="eastAsia" w:ascii="仿宋_GB2312" w:hAnsi="仿宋_GB2312" w:eastAsia="仿宋_GB2312" w:cs="仿宋_GB2312"/>
          <w:sz w:val="32"/>
          <w:szCs w:val="32"/>
        </w:rPr>
        <w:t>自觉提升耕地地力，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夯实粮食生产基础，促进农业高质量发展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。</w:t>
      </w:r>
    </w:p>
    <w:p w14:paraId="4B18D6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三、补贴政策主要内容</w:t>
      </w:r>
    </w:p>
    <w:p w14:paraId="674A593E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line="560" w:lineRule="exact"/>
        <w:ind w:left="0" w:firstLine="643" w:firstLineChars="200"/>
        <w:rPr>
          <w:rFonts w:hint="default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补贴金额。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呼伦贝尔市安排我市（含扎赉诺尔区）2023年耕地地力补贴资金54.17万元。</w:t>
      </w:r>
    </w:p>
    <w:p w14:paraId="5C5254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3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</w:rPr>
        <w:t>补贴对象。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根据我市实际情况，确定补贴对象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为在合法耕地上种植粮食作物的实际种植户，对于承包地、租种地的农户，根据签订协议，确定补贴发放对象，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原则上补贴给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实际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种植户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。</w:t>
      </w:r>
    </w:p>
    <w:p w14:paraId="4C1A8D5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（三）不予补贴的情况。</w:t>
      </w:r>
      <w:r>
        <w:rPr>
          <w:rFonts w:hint="eastAsia" w:ascii="仿宋_GB2312" w:hAnsi="仿宋_GB2312" w:eastAsia="仿宋_GB2312" w:cs="仿宋_GB2312"/>
          <w:sz w:val="32"/>
          <w:szCs w:val="32"/>
        </w:rPr>
        <w:t>对已种植林木和已作为畜牧养殖场使用的耕地、成片粮田转为设施农业用地、附属和配套设施用地、非农业征(占)用耕地等已改变用途的耕地、占补平衡中“补”的面积和质量达不到耕种条件的耕地（即不符合原自治区农牧业厅、国土资源厅《补充耕地质量评价工作和技术规范》的耕地）和已经列入自治区2022年退耕范围的不予补贴；对抛荒一年以上的，取消次年补贴资金;对使用地膜，但未采取地膜离田措施或离田比例未达到自治区要求的，缓发或暂停发放补贴资金。</w:t>
      </w:r>
    </w:p>
    <w:p w14:paraId="7BCABE03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firstLine="643" w:firstLineChars="200"/>
        <w:rPr>
          <w:rFonts w:hint="eastAsia" w:ascii="仿宋_GB2312" w:hAnsi="仿宋_GB2312" w:eastAsia="仿宋_GB2312" w:cs="仿宋_GB2312"/>
          <w:b w:val="0"/>
          <w:bCs w:val="0"/>
          <w:w w:val="97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宋体" w:eastAsia="仿宋_GB2312" w:cs="宋体"/>
          <w:b/>
          <w:bCs/>
          <w:color w:val="000000"/>
          <w:kern w:val="0"/>
          <w:sz w:val="32"/>
          <w:szCs w:val="32"/>
          <w:lang w:val="en-US" w:eastAsia="zh-CN"/>
        </w:rPr>
        <w:t>四</w:t>
      </w:r>
      <w:r>
        <w:rPr>
          <w:rFonts w:hint="eastAsia" w:ascii="仿宋_GB2312" w:hAnsi="宋体" w:eastAsia="仿宋_GB2312" w:cs="宋体"/>
          <w:b/>
          <w:bCs/>
          <w:color w:val="000000"/>
          <w:kern w:val="0"/>
          <w:sz w:val="32"/>
          <w:szCs w:val="32"/>
        </w:rPr>
        <w:t>）补贴范围。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根据我市的实际情况，经市农牧水利局、财政局研究决定，以种植户当年在合法耕地上实际播种的粮食作物（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马铃薯、玉米）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）面积为依据，</w:t>
      </w:r>
      <w:r>
        <w:rPr>
          <w:rFonts w:hint="eastAsia" w:ascii="仿宋_GB2312" w:hAnsi="仿宋_GB2312" w:eastAsia="仿宋_GB2312" w:cs="仿宋_GB2312"/>
          <w:b w:val="0"/>
          <w:bCs w:val="0"/>
          <w:w w:val="97"/>
          <w:sz w:val="32"/>
          <w:szCs w:val="32"/>
          <w:lang w:val="en-US" w:eastAsia="zh-CN"/>
        </w:rPr>
        <w:t>合法耕地上集中连片马铃薯或鲜食玉米单个品种面积不低于5亩的农户。</w:t>
      </w:r>
    </w:p>
    <w:p w14:paraId="4C24C5B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）补贴方式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和标准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补贴资金一律采取“一卡通”方式直接补贴到户，切实保护种地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农户</w:t>
      </w:r>
      <w:r>
        <w:rPr>
          <w:rFonts w:hint="eastAsia" w:ascii="仿宋_GB2312" w:hAnsi="仿宋_GB2312" w:eastAsia="仿宋_GB2312" w:cs="仿宋_GB2312"/>
          <w:sz w:val="32"/>
          <w:szCs w:val="32"/>
        </w:rPr>
        <w:t>的利益。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经市农牧水利局、财政局复核，符合补贴要求的面积即为补贴面积，用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呼伦贝尔市下达我市补贴资金总额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除以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符合补贴的种植面积，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即为2023年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补贴标准，全市执行统一补贴标准。</w:t>
      </w:r>
    </w:p>
    <w:p w14:paraId="3F073BD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四、补贴资金发放程序</w:t>
      </w: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   为确保及时精准发放补贴资金，按照“扎赉诺尔区、新开河镇登记、审核，市级核定”的程序，对种植户补贴面积进行申报核实，做好基础数据统计工作。具体程序为：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  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  （一）登记、审核、公示上报</w:t>
      </w:r>
      <w:r>
        <w:rPr>
          <w:rFonts w:hint="default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（202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3</w:t>
      </w:r>
      <w:r>
        <w:rPr>
          <w:rFonts w:hint="default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年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10</w:t>
      </w:r>
      <w:r>
        <w:rPr>
          <w:rFonts w:hint="default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30</w:t>
      </w:r>
      <w:r>
        <w:rPr>
          <w:rFonts w:hint="default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日前）。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按照属地管理和补贴政策要求，由各街道社区组织负责向扎区农牧水利局、新开河镇申报本辖区域内补贴基础数据，包括农户姓名、补贴面积、品种、身份证号码、“一卡通”账号等（农户需持身份证到农村商业银行办理开户）。扎区、新开河镇对上报的基础数据及佐证材料进行审查核实，并进行第一次公示，公示时间不少于7天。经农户签字确认、审核、公示等程序后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填写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满洲里市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年耕地地力保护补贴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明细表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》（附件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由各区、乡镇政府主要负责人签字盖章后，以正式文件于10月30日前上报市农牧水利局农业科，联系电话：3910810。同时，将银行卡及身份证正面复印在一页纸上及相关佐证材料一并上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。相关材料上报时间截止时间为2023年10月30日，过期视为自动放弃补贴。</w:t>
      </w:r>
    </w:p>
    <w:p w14:paraId="57456C0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（二）</w:t>
      </w:r>
      <w:r>
        <w:rPr>
          <w:rFonts w:hint="default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补贴面积核查（202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3</w:t>
      </w:r>
      <w:r>
        <w:rPr>
          <w:rFonts w:hint="default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年</w:t>
      </w:r>
      <w:bookmarkStart w:id="0" w:name="_GoBack"/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11</w:t>
      </w:r>
      <w:r>
        <w:rPr>
          <w:rFonts w:hint="default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月</w:t>
      </w:r>
      <w:bookmarkEnd w:id="0"/>
      <w:r>
        <w:rPr>
          <w:rFonts w:hint="default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5日前）。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由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市农牧水利局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会同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市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财政局，对上报的补贴数据采取抽样的方式进行现场核查。对存在问题及时反馈至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扎赉诺尔区、新开河镇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重新审核、公示、上报。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待农牧水利局、财政局对上报的补贴面积等数据进行汇总核定后，对补贴标准进行测算，将补贴标准通知到扎区、新开河镇。</w:t>
      </w:r>
    </w:p>
    <w:p w14:paraId="38F8A2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 （三）编制发放清册（2023年11月10日前）。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扎赉诺尔区、新开河镇依据补贴标准核算补贴金额，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填写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满洲里市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年耕地地力保护补贴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清册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》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（见附件2），经各区、乡镇政府主要负责人签字后，于11月10日前上报市农牧水利局，市农牧水利局审核汇总后提供给市财政局。</w:t>
      </w:r>
    </w:p>
    <w:p w14:paraId="748441D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）</w:t>
      </w:r>
      <w:r>
        <w:rPr>
          <w:rFonts w:hint="default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补贴资金发放（202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3</w:t>
      </w:r>
      <w:r>
        <w:rPr>
          <w:rFonts w:hint="default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年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11</w:t>
      </w:r>
      <w:r>
        <w:rPr>
          <w:rFonts w:hint="default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15</w:t>
      </w:r>
      <w:r>
        <w:rPr>
          <w:rFonts w:hint="default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日前）。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市财政局根据核定情况发放清册数据，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通过财政惠民惠农“一卡通”统发监管系统集中统发到户。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补贴发放结果公开。补贴资金发放时，扎区、新开河镇应对补贴资金发放清册进行第二次公示，接受社会监督。</w:t>
      </w:r>
    </w:p>
    <w:p w14:paraId="2E590C6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（五）</w:t>
      </w:r>
      <w:r>
        <w:rPr>
          <w:rFonts w:hint="default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总结归档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工作</w:t>
      </w:r>
      <w:r>
        <w:rPr>
          <w:rFonts w:hint="default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（202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3</w:t>
      </w:r>
      <w:r>
        <w:rPr>
          <w:rFonts w:hint="default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年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11</w:t>
      </w:r>
      <w:r>
        <w:rPr>
          <w:rFonts w:hint="default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20</w:t>
      </w:r>
      <w:r>
        <w:rPr>
          <w:rFonts w:hint="default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日前）。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扎赉诺尔区、新开河镇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于202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3年11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0日前，将202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年耕地地力保护补贴工作总结报送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市农牧水利局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市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财政局，并及时将耕地地力保护补贴相关资料收集、整理及归档。</w:t>
      </w:r>
    </w:p>
    <w:p w14:paraId="530E1D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四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eastAsia="zh-CN"/>
        </w:rPr>
        <w:t>、保障措施</w:t>
      </w:r>
    </w:p>
    <w:p w14:paraId="15A593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spacing w:line="560" w:lineRule="exact"/>
        <w:ind w:left="0" w:firstLine="640" w:firstLineChars="200"/>
        <w:jc w:val="both"/>
        <w:textAlignment w:val="baseline"/>
        <w:rPr>
          <w:rFonts w:hint="eastAsia" w:ascii="仿宋_GB2312" w:hAnsi="宋体" w:eastAsia="仿宋_GB2312" w:cs="Times New Roman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  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(一)加强组织领导。</w:t>
      </w:r>
      <w:r>
        <w:rPr>
          <w:rFonts w:hint="eastAsia" w:ascii="仿宋_GB2312" w:hAnsi="仿宋_GB2312" w:eastAsia="仿宋_GB2312" w:cs="仿宋_GB2312"/>
          <w:sz w:val="32"/>
          <w:szCs w:val="32"/>
        </w:rPr>
        <w:t>耕地地力保护补贴由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市、区、乡镇各级</w:t>
      </w:r>
      <w:r>
        <w:rPr>
          <w:rFonts w:hint="eastAsia" w:ascii="仿宋_GB2312" w:hAnsi="仿宋_GB2312" w:eastAsia="仿宋_GB2312" w:cs="仿宋_GB2312"/>
          <w:sz w:val="32"/>
          <w:szCs w:val="32"/>
        </w:rPr>
        <w:t>人民政府负总责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，要加强组织领导，明确相关责任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严格落实补贴政策。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农牧部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要加强对耕地地力提升措施的技术培训与指导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做好补贴范围内未实施地膜离田或未达到离田标准的核实工作，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对使用地膜，但未采取地膜离田措施或离田比例未达到自治区要求的，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商财政部门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缓发或暂停发放补贴资金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财政部门负责资金拨付和管理，保障各项工作有序推进。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扎区、新开河镇等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涉及补贴部门负责补贴面积的统计和核实工作，做好政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策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宣传解读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及信访维稳工作。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各有关部门协同配合，形成合力，加快推进。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（二）加大政策宣传力度。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耕地地力保护补贴涉及面广，工作要求高，事关生产发展大局，事关广大人民群众的切身利益，各相关部门要切实做好舆论宣传工作，</w:t>
      </w:r>
      <w:r>
        <w:rPr>
          <w:rFonts w:hint="eastAsia" w:ascii="仿宋_GB2312" w:hAnsi="宋体" w:eastAsia="仿宋_GB2312" w:cs="Times New Roman"/>
          <w:sz w:val="32"/>
          <w:szCs w:val="32"/>
          <w:highlight w:val="none"/>
        </w:rPr>
        <w:t>利用广播、电视、报纸、互联网、手机等媒体</w:t>
      </w:r>
      <w:r>
        <w:rPr>
          <w:rFonts w:hint="eastAsia" w:ascii="仿宋_GB2312" w:hAnsi="宋体" w:eastAsia="仿宋_GB2312" w:cs="Times New Roman"/>
          <w:sz w:val="32"/>
          <w:szCs w:val="32"/>
          <w:highlight w:val="none"/>
          <w:lang w:val="en-US" w:eastAsia="zh-CN"/>
        </w:rPr>
        <w:t>进行宣传</w:t>
      </w:r>
      <w:r>
        <w:rPr>
          <w:rFonts w:hint="eastAsia" w:ascii="仿宋_GB2312" w:hAnsi="宋体" w:eastAsia="仿宋_GB2312" w:cs="Times New Roman"/>
          <w:sz w:val="32"/>
          <w:szCs w:val="32"/>
          <w:highlight w:val="none"/>
        </w:rPr>
        <w:t>，确保将补贴政策内容宣传到户</w:t>
      </w:r>
      <w:r>
        <w:rPr>
          <w:rFonts w:hint="eastAsia" w:ascii="仿宋_GB2312" w:hAnsi="宋体" w:eastAsia="仿宋_GB2312" w:cs="Times New Roman"/>
          <w:sz w:val="32"/>
          <w:szCs w:val="32"/>
          <w:highlight w:val="none"/>
          <w:lang w:eastAsia="zh-CN"/>
        </w:rPr>
        <w:t>，减少矛盾。同时，</w:t>
      </w:r>
      <w:r>
        <w:rPr>
          <w:rFonts w:hint="eastAsia" w:ascii="仿宋_GB2312" w:hAnsi="宋体" w:eastAsia="仿宋_GB2312" w:cs="Times New Roman"/>
          <w:sz w:val="32"/>
          <w:szCs w:val="32"/>
          <w:highlight w:val="none"/>
          <w:lang w:val="en-US" w:eastAsia="zh-CN"/>
        </w:rPr>
        <w:t>要</w:t>
      </w:r>
      <w:r>
        <w:rPr>
          <w:rFonts w:hint="eastAsia" w:ascii="仿宋_GB2312" w:hAnsi="宋体" w:eastAsia="仿宋_GB2312" w:cs="Times New Roman"/>
          <w:sz w:val="32"/>
          <w:szCs w:val="32"/>
          <w:highlight w:val="none"/>
          <w:lang w:eastAsia="zh-CN"/>
        </w:rPr>
        <w:t>争取更大程度发挥资金引导耕地地力提升作用</w:t>
      </w:r>
      <w:r>
        <w:rPr>
          <w:rFonts w:hint="eastAsia" w:ascii="仿宋_GB2312" w:hAnsi="宋体" w:eastAsia="仿宋_GB2312" w:cs="Times New Roman"/>
          <w:sz w:val="32"/>
          <w:szCs w:val="32"/>
          <w:highlight w:val="none"/>
        </w:rPr>
        <w:t>，及时做好农民群众的咨询和答疑。</w:t>
      </w:r>
    </w:p>
    <w:p w14:paraId="05A0946A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firstLine="643" w:firstLineChars="200"/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（</w:t>
      </w: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）强化监督检查工作。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农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牧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部门和财政部门要加大对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补贴面积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的核实力度，严禁将不符合政策规定的补贴对象和补贴面积纳入补贴范围，严禁任何单位和部门截留挪用补贴资金。坚决杜绝骗取、套取、贪污、挤占、挪用耕地地力保护补贴资金或违规发放补贴资金的行为。对在补贴实施过程中，参与骗取补贴资金或不履行监管职责造成财政资金损失的相关人员，要按照相关的法律、法规进行问责和处罚，涉嫌违法犯罪的将依法依规严肃处理。</w:t>
      </w:r>
    </w:p>
    <w:p w14:paraId="096DD6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四</w:t>
      </w:r>
      <w:r>
        <w:rPr>
          <w:rFonts w:hint="default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加强督查调度。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此项工作时间紧、任务重，各级有关部门要严格按时间节点完成工作任务，报送相关表格；对不按时上报、影响全市整体工作推进的给予通报，并追责、问责。要及时发现和纠正补贴发放中存在的问题，确保补贴资金及时足额发放给实际耕种农民。</w:t>
      </w:r>
    </w:p>
    <w:p w14:paraId="4DC2514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附件1、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满洲里市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年耕地地力保护补贴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明细表</w:t>
      </w:r>
    </w:p>
    <w:p w14:paraId="1599C5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280" w:firstLineChars="4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hAnsi="仿宋_GB2312" w:cs="仿宋_GB2312"/>
          <w:sz w:val="32"/>
          <w:szCs w:val="32"/>
          <w:highlight w:val="none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满洲里市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eastAsia="zh-CN"/>
        </w:rPr>
        <w:t>年耕地地力保护补贴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清册</w:t>
      </w:r>
    </w:p>
    <w:p w14:paraId="28161601">
      <w:pPr>
        <w:pStyle w:val="2"/>
        <w:rPr>
          <w:rFonts w:hint="default"/>
          <w:lang w:val="en-US" w:eastAsia="zh-CN"/>
        </w:rPr>
      </w:pPr>
    </w:p>
    <w:p w14:paraId="504D7E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both"/>
        <w:textAlignment w:val="auto"/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</w:pPr>
    </w:p>
    <w:p w14:paraId="3CCD3CE9">
      <w:pPr>
        <w:pStyle w:val="2"/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</w:pPr>
    </w:p>
    <w:p w14:paraId="3A7F8550">
      <w:pPr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</w:pPr>
    </w:p>
    <w:p w14:paraId="5264BF25">
      <w:pPr>
        <w:pStyle w:val="2"/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</w:pPr>
    </w:p>
    <w:p w14:paraId="63BFDD95">
      <w:pPr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</w:pPr>
    </w:p>
    <w:p w14:paraId="08F8E576">
      <w:pPr>
        <w:pStyle w:val="2"/>
        <w:rPr>
          <w:rFonts w:hint="default" w:ascii="仿宋_GB2312" w:hAnsi="仿宋_GB2312" w:eastAsia="仿宋_GB2312" w:cs="仿宋_GB2312"/>
          <w:snapToGrid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                              </w:t>
      </w: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highlight w:val="none"/>
          <w:lang w:val="en-US" w:eastAsia="zh-CN" w:bidi="ar-SA"/>
        </w:rPr>
        <w:t xml:space="preserve"> 2023年</w:t>
      </w:r>
      <w:r>
        <w:rPr>
          <w:rFonts w:hint="eastAsia" w:hAnsi="仿宋_GB2312" w:cs="仿宋_GB2312"/>
          <w:snapToGrid/>
          <w:color w:val="auto"/>
          <w:kern w:val="2"/>
          <w:sz w:val="32"/>
          <w:szCs w:val="32"/>
          <w:highlight w:val="none"/>
          <w:lang w:val="en-US" w:eastAsia="zh-CN" w:bidi="ar-SA"/>
        </w:rPr>
        <w:t>10</w:t>
      </w: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highlight w:val="none"/>
          <w:lang w:val="en-US" w:eastAsia="zh-CN" w:bidi="ar-SA"/>
        </w:rPr>
        <w:t>月</w:t>
      </w:r>
      <w:r>
        <w:rPr>
          <w:rFonts w:hint="eastAsia" w:hAnsi="仿宋_GB2312" w:cs="仿宋_GB2312"/>
          <w:snapToGrid/>
          <w:color w:val="auto"/>
          <w:kern w:val="2"/>
          <w:sz w:val="32"/>
          <w:szCs w:val="32"/>
          <w:highlight w:val="none"/>
          <w:lang w:val="en-US" w:eastAsia="zh-CN" w:bidi="ar-SA"/>
        </w:rPr>
        <w:t>19</w:t>
      </w: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32"/>
          <w:szCs w:val="32"/>
          <w:highlight w:val="none"/>
          <w:lang w:val="en-US" w:eastAsia="zh-CN" w:bidi="ar-SA"/>
        </w:rPr>
        <w:t>日</w:t>
      </w:r>
    </w:p>
    <w:p w14:paraId="2408749D">
      <w:pPr>
        <w:rPr>
          <w:rFonts w:hint="eastAsia" w:ascii="Times New Roman" w:hAnsi="Times New Roman" w:cs="Times New Roman"/>
          <w:sz w:val="28"/>
          <w:szCs w:val="28"/>
          <w:lang w:val="en-US" w:eastAsia="zh-CN"/>
        </w:rPr>
      </w:pPr>
    </w:p>
    <w:p w14:paraId="1533E28B">
      <w:pPr>
        <w:pStyle w:val="2"/>
        <w:rPr>
          <w:rFonts w:hint="eastAsia" w:ascii="Times New Roman" w:hAnsi="Times New Roman" w:cs="Times New Roman"/>
          <w:sz w:val="28"/>
          <w:szCs w:val="28"/>
          <w:lang w:val="en-US" w:eastAsia="zh-CN"/>
        </w:rPr>
      </w:pPr>
    </w:p>
    <w:p w14:paraId="42888E22">
      <w:pPr>
        <w:rPr>
          <w:rFonts w:hint="eastAsia" w:ascii="Times New Roman" w:hAnsi="Times New Roman" w:cs="Times New Roman"/>
          <w:sz w:val="28"/>
          <w:szCs w:val="28"/>
          <w:lang w:val="en-US" w:eastAsia="zh-CN"/>
        </w:rPr>
      </w:pPr>
    </w:p>
    <w:p w14:paraId="19E2AD7C">
      <w:pPr>
        <w:pStyle w:val="2"/>
        <w:rPr>
          <w:rFonts w:hint="default"/>
          <w:lang w:val="en-US" w:eastAsia="zh-CN"/>
        </w:rPr>
      </w:pPr>
    </w:p>
    <w:p w14:paraId="4F310276"/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43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ESI黑体-GB13000">
    <w:altName w:val="黑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2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hkOWNiOWMyOWQzYjFmOWZjMzhmNmUzZjVmZTA5YWUifQ=="/>
  </w:docVars>
  <w:rsids>
    <w:rsidRoot w:val="728661DA"/>
    <w:rsid w:val="03B1713F"/>
    <w:rsid w:val="0426355F"/>
    <w:rsid w:val="04A9250C"/>
    <w:rsid w:val="04BB2597"/>
    <w:rsid w:val="083D4614"/>
    <w:rsid w:val="083D7BFF"/>
    <w:rsid w:val="0BC54D60"/>
    <w:rsid w:val="0C590374"/>
    <w:rsid w:val="107C2CD3"/>
    <w:rsid w:val="15194B44"/>
    <w:rsid w:val="1BFE4A94"/>
    <w:rsid w:val="23965456"/>
    <w:rsid w:val="28300EFF"/>
    <w:rsid w:val="2BCE7FDF"/>
    <w:rsid w:val="2C293467"/>
    <w:rsid w:val="2C6F1126"/>
    <w:rsid w:val="32773A5E"/>
    <w:rsid w:val="37D72629"/>
    <w:rsid w:val="3D552762"/>
    <w:rsid w:val="3FA56E51"/>
    <w:rsid w:val="434C41B3"/>
    <w:rsid w:val="44B26298"/>
    <w:rsid w:val="4A5B4CDC"/>
    <w:rsid w:val="50E43051"/>
    <w:rsid w:val="51782617"/>
    <w:rsid w:val="548579E2"/>
    <w:rsid w:val="55AE6607"/>
    <w:rsid w:val="60317EC9"/>
    <w:rsid w:val="63B74933"/>
    <w:rsid w:val="66327BF7"/>
    <w:rsid w:val="66FA79C7"/>
    <w:rsid w:val="6824720A"/>
    <w:rsid w:val="68ED6FEF"/>
    <w:rsid w:val="6BA37E39"/>
    <w:rsid w:val="6DFD7CD4"/>
    <w:rsid w:val="6E602011"/>
    <w:rsid w:val="728661DA"/>
    <w:rsid w:val="772A02AD"/>
    <w:rsid w:val="7AB636E5"/>
    <w:rsid w:val="7B1B00F9"/>
    <w:rsid w:val="7DCA74A7"/>
    <w:rsid w:val="7DF10ED8"/>
    <w:rsid w:val="7E83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仿宋" w:hAnsi="仿宋" w:eastAsia="仿宋" w:cs="Times New Roman"/>
      <w:kern w:val="2"/>
      <w:sz w:val="32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widowControl/>
      <w:kinsoku w:val="0"/>
      <w:autoSpaceDE w:val="0"/>
      <w:autoSpaceDN w:val="0"/>
      <w:adjustRightInd w:val="0"/>
      <w:snapToGrid w:val="0"/>
      <w:spacing w:line="360" w:lineRule="auto"/>
      <w:jc w:val="left"/>
      <w:textAlignment w:val="baseline"/>
    </w:pPr>
    <w:rPr>
      <w:rFonts w:ascii="仿宋_GB2312" w:hAnsi="Calibri" w:eastAsia="仿宋_GB2312" w:cs="仿宋_GB2312"/>
      <w:snapToGrid w:val="0"/>
      <w:color w:val="000000"/>
      <w:kern w:val="0"/>
      <w:sz w:val="30"/>
      <w:szCs w:val="3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2764</Words>
  <Characters>2859</Characters>
  <Lines>0</Lines>
  <Paragraphs>0</Paragraphs>
  <TotalTime>5</TotalTime>
  <ScaleCrop>false</ScaleCrop>
  <LinksUpToDate>false</LinksUpToDate>
  <CharactersWithSpaces>2893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2023-06-01T01:21:00Z</dcterms:created>
  <dc:creator>HY</dc:creator>
  <cp:lastModifiedBy>文文珊珊</cp:lastModifiedBy>
  <dcterms:modified xsi:type="dcterms:W3CDTF">2025-06-26T07:15:52Z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BA3DEC0398E943BCB94E4BC23E94EBF1_13</vt:lpwstr>
  </property>
  <property fmtid="{D5CDD505-2E9C-101B-9397-08002B2CF9AE}" pid="4" name="KSOTemplateDocerSaveRecord">
    <vt:lpwstr>eyJoZGlkIjoiMWMxODE5Nzk5OWU5M2M3NjdhNzZmYTk0MWY1YTQ5NmMiLCJ1c2VySWQiOiI5NzY1MzkxNDMifQ==</vt:lpwstr>
  </property>
</Properties>
</file>