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5ED698">
      <w:pPr>
        <w:spacing w:line="1680" w:lineRule="exact"/>
        <w:jc w:val="center"/>
        <w:rPr>
          <w:rFonts w:hint="eastAsia" w:ascii="方正小标宋简体" w:hAnsi="方正小标宋简体" w:eastAsia="方正小标宋简体" w:cs="方正小标宋简体"/>
          <w:color w:val="FF0000"/>
          <w:sz w:val="52"/>
          <w:szCs w:val="52"/>
          <w:lang w:eastAsia="zh-CN"/>
        </w:rPr>
      </w:pPr>
      <w:r>
        <w:rPr>
          <w:rFonts w:hint="eastAsia" w:ascii="方正小标宋简体" w:hAnsi="方正小标宋简体" w:eastAsia="方正小标宋简体" w:cs="方正小标宋简体"/>
          <w:color w:val="FF0000"/>
          <w:sz w:val="52"/>
          <w:szCs w:val="52"/>
          <w:lang w:eastAsia="zh-CN"/>
        </w:rPr>
        <w:t>公</w:t>
      </w:r>
      <w:r>
        <w:rPr>
          <w:rFonts w:hint="eastAsia" w:ascii="方正小标宋简体" w:hAnsi="方正小标宋简体" w:eastAsia="方正小标宋简体" w:cs="方正小标宋简体"/>
          <w:color w:val="FF0000"/>
          <w:sz w:val="52"/>
          <w:szCs w:val="52"/>
          <w:lang w:val="en-US" w:eastAsia="zh-CN"/>
        </w:rPr>
        <w:t xml:space="preserve">       </w:t>
      </w:r>
      <w:r>
        <w:rPr>
          <w:rFonts w:hint="eastAsia" w:ascii="方正小标宋简体" w:hAnsi="方正小标宋简体" w:eastAsia="方正小标宋简体" w:cs="方正小标宋简体"/>
          <w:color w:val="FF0000"/>
          <w:sz w:val="52"/>
          <w:szCs w:val="52"/>
          <w:lang w:eastAsia="zh-CN"/>
        </w:rPr>
        <w:t>告</w:t>
      </w:r>
    </w:p>
    <w:p w14:paraId="750E2BE3">
      <w:pPr>
        <w:pStyle w:val="2"/>
        <w:spacing w:line="307" w:lineRule="auto"/>
      </w:pPr>
    </w:p>
    <w:p w14:paraId="07B5FC15">
      <w:pPr>
        <w:pStyle w:val="2"/>
        <w:spacing w:line="307" w:lineRule="auto"/>
      </w:pPr>
    </w:p>
    <w:p w14:paraId="2BC66296">
      <w:pPr>
        <w:spacing w:before="101" w:line="222" w:lineRule="auto"/>
        <w:ind w:firstLine="2873" w:firstLineChars="900"/>
        <w:jc w:val="both"/>
        <w:rPr>
          <w:rFonts w:hint="eastAsia" w:ascii="FangSong_GB2312" w:hAnsi="FangSong_GB2312" w:eastAsia="FangSong_GB2312" w:cs="FangSong_GB2312"/>
          <w:b/>
          <w:bCs/>
          <w:color w:val="FF0000"/>
          <w:sz w:val="31"/>
          <w:szCs w:val="31"/>
          <w:lang w:eastAsia="zh-CN"/>
        </w:rPr>
      </w:pPr>
      <w:r>
        <w:rPr>
          <w:rFonts w:hint="eastAsia" w:ascii="FangSong_GB2312" w:hAnsi="FangSong_GB2312" w:eastAsia="FangSong_GB2312" w:cs="FangSong_GB2312"/>
          <w:b/>
          <w:bCs/>
          <w:color w:val="FF0000"/>
          <w:spacing w:val="4"/>
          <w:sz w:val="31"/>
          <w:szCs w:val="31"/>
          <w:lang w:eastAsia="zh-CN"/>
        </w:rPr>
        <w:t>（</w:t>
      </w:r>
      <w:r>
        <w:rPr>
          <w:rFonts w:ascii="FangSong_GB2312" w:hAnsi="FangSong_GB2312" w:eastAsia="FangSong_GB2312" w:cs="FangSong_GB2312"/>
          <w:b/>
          <w:bCs/>
          <w:color w:val="FF0000"/>
          <w:spacing w:val="4"/>
          <w:sz w:val="31"/>
          <w:szCs w:val="31"/>
        </w:rPr>
        <w:t>满烟法〔2026〕11</w:t>
      </w:r>
      <w:r>
        <w:rPr>
          <w:rFonts w:ascii="FangSong_GB2312" w:hAnsi="FangSong_GB2312" w:eastAsia="FangSong_GB2312" w:cs="FangSong_GB2312"/>
          <w:b/>
          <w:bCs/>
          <w:color w:val="FF0000"/>
          <w:spacing w:val="-45"/>
          <w:sz w:val="31"/>
          <w:szCs w:val="31"/>
        </w:rPr>
        <w:t xml:space="preserve"> </w:t>
      </w:r>
      <w:r>
        <w:rPr>
          <w:rFonts w:ascii="FangSong_GB2312" w:hAnsi="FangSong_GB2312" w:eastAsia="FangSong_GB2312" w:cs="FangSong_GB2312"/>
          <w:b/>
          <w:bCs/>
          <w:color w:val="FF0000"/>
          <w:spacing w:val="4"/>
          <w:sz w:val="31"/>
          <w:szCs w:val="31"/>
        </w:rPr>
        <w:t>号</w:t>
      </w:r>
      <w:r>
        <w:rPr>
          <w:rFonts w:hint="eastAsia" w:ascii="FangSong_GB2312" w:hAnsi="FangSong_GB2312" w:eastAsia="FangSong_GB2312" w:cs="FangSong_GB2312"/>
          <w:b/>
          <w:bCs/>
          <w:color w:val="FF0000"/>
          <w:spacing w:val="4"/>
          <w:sz w:val="31"/>
          <w:szCs w:val="31"/>
          <w:lang w:eastAsia="zh-CN"/>
        </w:rPr>
        <w:t>）</w:t>
      </w:r>
      <w:bookmarkStart w:id="0" w:name="_GoBack"/>
      <w:bookmarkEnd w:id="0"/>
    </w:p>
    <w:p w14:paraId="2E153207">
      <w:pPr>
        <w:spacing w:before="79" w:line="34" w:lineRule="exact"/>
      </w:pPr>
    </w:p>
    <w:p w14:paraId="142F2F72">
      <w:pPr>
        <w:pStyle w:val="2"/>
        <w:spacing w:line="306" w:lineRule="auto"/>
      </w:pPr>
    </w:p>
    <w:p w14:paraId="71AA981C">
      <w:pPr>
        <w:pStyle w:val="2"/>
        <w:spacing w:line="307" w:lineRule="auto"/>
      </w:pPr>
    </w:p>
    <w:p w14:paraId="3A137C54">
      <w:pPr>
        <w:pStyle w:val="2"/>
        <w:spacing w:line="307" w:lineRule="auto"/>
      </w:pPr>
    </w:p>
    <w:p w14:paraId="7C6FD618">
      <w:pPr>
        <w:spacing w:before="135"/>
        <w:ind w:left="1871"/>
        <w:outlineLvl w:val="0"/>
        <w:rPr>
          <w:rFonts w:ascii="方正小标宋简体" w:hAnsi="方正小标宋简体" w:eastAsia="方正小标宋简体" w:cs="方正小标宋简体"/>
          <w:sz w:val="35"/>
          <w:szCs w:val="35"/>
        </w:rPr>
      </w:pPr>
      <w:r>
        <w:rPr>
          <w:rFonts w:ascii="方正小标宋简体" w:hAnsi="方正小标宋简体" w:eastAsia="方正小标宋简体" w:cs="方正小标宋简体"/>
          <w:spacing w:val="7"/>
          <w:sz w:val="35"/>
          <w:szCs w:val="35"/>
        </w:rPr>
        <w:t>内蒙古自治区满洲里市烟草专卖局</w:t>
      </w:r>
    </w:p>
    <w:p w14:paraId="3FD136A7">
      <w:pPr>
        <w:spacing w:before="35" w:line="241" w:lineRule="auto"/>
        <w:ind w:left="218"/>
        <w:outlineLvl w:val="1"/>
        <w:rPr>
          <w:rFonts w:ascii="方正小标宋简体" w:hAnsi="方正小标宋简体" w:eastAsia="方正小标宋简体" w:cs="方正小标宋简体"/>
          <w:sz w:val="35"/>
          <w:szCs w:val="35"/>
        </w:rPr>
      </w:pPr>
      <w:r>
        <w:rPr>
          <w:rFonts w:ascii="方正小标宋简体" w:hAnsi="方正小标宋简体" w:eastAsia="方正小标宋简体" w:cs="方正小标宋简体"/>
          <w:spacing w:val="10"/>
          <w:sz w:val="35"/>
          <w:szCs w:val="35"/>
        </w:rPr>
        <w:t>关于印发满洲里市烟草制品零售点合理布局</w:t>
      </w:r>
      <w:r>
        <w:rPr>
          <w:rFonts w:ascii="方正小标宋简体" w:hAnsi="方正小标宋简体" w:eastAsia="方正小标宋简体" w:cs="方正小标宋简体"/>
          <w:spacing w:val="9"/>
          <w:sz w:val="35"/>
          <w:szCs w:val="35"/>
        </w:rPr>
        <w:t>规划的通知</w:t>
      </w:r>
    </w:p>
    <w:p w14:paraId="5C4E37E9">
      <w:pPr>
        <w:pStyle w:val="2"/>
        <w:spacing w:line="300" w:lineRule="auto"/>
      </w:pPr>
    </w:p>
    <w:p w14:paraId="6846FDEB">
      <w:pPr>
        <w:pStyle w:val="2"/>
        <w:spacing w:line="300" w:lineRule="auto"/>
      </w:pPr>
    </w:p>
    <w:p w14:paraId="6A957383">
      <w:pPr>
        <w:spacing w:before="101" w:line="222" w:lineRule="auto"/>
        <w:ind w:left="11"/>
        <w:rPr>
          <w:rFonts w:ascii="FangSong_GB2312" w:hAnsi="FangSong_GB2312" w:eastAsia="FangSong_GB2312" w:cs="FangSong_GB2312"/>
          <w:sz w:val="31"/>
          <w:szCs w:val="31"/>
        </w:rPr>
      </w:pPr>
      <w:r>
        <w:rPr>
          <w:rFonts w:ascii="FangSong_GB2312" w:hAnsi="FangSong_GB2312" w:eastAsia="FangSong_GB2312" w:cs="FangSong_GB2312"/>
          <w:spacing w:val="4"/>
          <w:sz w:val="31"/>
          <w:szCs w:val="31"/>
        </w:rPr>
        <w:t>各部门：</w:t>
      </w:r>
    </w:p>
    <w:p w14:paraId="35A9C3D2">
      <w:pPr>
        <w:spacing w:before="218" w:line="356" w:lineRule="auto"/>
        <w:ind w:left="8" w:firstLine="654"/>
        <w:jc w:val="both"/>
        <w:rPr>
          <w:rFonts w:ascii="FangSong_GB2312" w:hAnsi="FangSong_GB2312" w:eastAsia="FangSong_GB2312" w:cs="FangSong_GB2312"/>
          <w:sz w:val="31"/>
          <w:szCs w:val="31"/>
        </w:rPr>
      </w:pPr>
      <w:r>
        <w:rPr>
          <w:rFonts w:ascii="FangSong_GB2312" w:hAnsi="FangSong_GB2312" w:eastAsia="FangSong_GB2312" w:cs="FangSong_GB2312"/>
          <w:spacing w:val="4"/>
          <w:sz w:val="31"/>
          <w:szCs w:val="31"/>
        </w:rPr>
        <w:t>为维护国家烟草专卖制度，规范烟草制品零售市场经营秩序，</w:t>
      </w:r>
      <w:r>
        <w:rPr>
          <w:rFonts w:ascii="FangSong_GB2312" w:hAnsi="FangSong_GB2312" w:eastAsia="FangSong_GB2312" w:cs="FangSong_GB2312"/>
          <w:spacing w:val="5"/>
          <w:sz w:val="31"/>
          <w:szCs w:val="31"/>
        </w:rPr>
        <w:t>加强烟草专卖零售许可管理，维护国家利益和消费者的合法权益，</w:t>
      </w:r>
      <w:r>
        <w:rPr>
          <w:rFonts w:ascii="FangSong_GB2312" w:hAnsi="FangSong_GB2312" w:eastAsia="FangSong_GB2312" w:cs="FangSong_GB2312"/>
          <w:spacing w:val="14"/>
          <w:sz w:val="31"/>
          <w:szCs w:val="31"/>
        </w:rPr>
        <w:t>根据《中华人民共和国行政许可法》《中华人民</w:t>
      </w:r>
      <w:r>
        <w:rPr>
          <w:rFonts w:ascii="FangSong_GB2312" w:hAnsi="FangSong_GB2312" w:eastAsia="FangSong_GB2312" w:cs="FangSong_GB2312"/>
          <w:spacing w:val="13"/>
          <w:sz w:val="31"/>
          <w:szCs w:val="31"/>
        </w:rPr>
        <w:t>共和国未成年人保护法》《中华人民共和国烟草专卖法》及其实施条例、《烟草</w:t>
      </w:r>
      <w:r>
        <w:rPr>
          <w:rFonts w:ascii="FangSong_GB2312" w:hAnsi="FangSong_GB2312" w:eastAsia="FangSong_GB2312" w:cs="FangSong_GB2312"/>
          <w:spacing w:val="4"/>
          <w:sz w:val="31"/>
          <w:szCs w:val="31"/>
        </w:rPr>
        <w:t>专卖许可证管理办法》及实施细则（国烟法〔2020</w:t>
      </w:r>
      <w:r>
        <w:rPr>
          <w:rFonts w:ascii="FangSong_GB2312" w:hAnsi="FangSong_GB2312" w:eastAsia="FangSong_GB2312" w:cs="FangSong_GB2312"/>
          <w:spacing w:val="3"/>
          <w:sz w:val="31"/>
          <w:szCs w:val="31"/>
        </w:rPr>
        <w:t>〕205</w:t>
      </w:r>
      <w:r>
        <w:rPr>
          <w:rFonts w:ascii="FangSong_GB2312" w:hAnsi="FangSong_GB2312" w:eastAsia="FangSong_GB2312" w:cs="FangSong_GB2312"/>
          <w:spacing w:val="-49"/>
          <w:sz w:val="31"/>
          <w:szCs w:val="31"/>
        </w:rPr>
        <w:t xml:space="preserve"> </w:t>
      </w:r>
      <w:r>
        <w:rPr>
          <w:rFonts w:ascii="FangSong_GB2312" w:hAnsi="FangSong_GB2312" w:eastAsia="FangSong_GB2312" w:cs="FangSong_GB2312"/>
          <w:spacing w:val="3"/>
          <w:sz w:val="31"/>
          <w:szCs w:val="31"/>
        </w:rPr>
        <w:t>号）等相</w:t>
      </w:r>
      <w:r>
        <w:rPr>
          <w:rFonts w:ascii="FangSong_GB2312" w:hAnsi="FangSong_GB2312" w:eastAsia="FangSong_GB2312" w:cs="FangSong_GB2312"/>
          <w:spacing w:val="8"/>
          <w:sz w:val="31"/>
          <w:szCs w:val="31"/>
        </w:rPr>
        <w:t>关法律法规规章及相关规定,按照公开、公平、公正</w:t>
      </w:r>
      <w:r>
        <w:rPr>
          <w:rFonts w:ascii="FangSong_GB2312" w:hAnsi="FangSong_GB2312" w:eastAsia="FangSong_GB2312" w:cs="FangSong_GB2312"/>
          <w:spacing w:val="7"/>
          <w:sz w:val="31"/>
          <w:szCs w:val="31"/>
        </w:rPr>
        <w:t>、高效、便民</w:t>
      </w:r>
      <w:r>
        <w:rPr>
          <w:rFonts w:ascii="FangSong_GB2312" w:hAnsi="FangSong_GB2312" w:eastAsia="FangSong_GB2312" w:cs="FangSong_GB2312"/>
          <w:spacing w:val="14"/>
          <w:sz w:val="31"/>
          <w:szCs w:val="31"/>
        </w:rPr>
        <w:t>和满足消费的原则，对满洲里市烟草制品零售点</w:t>
      </w:r>
      <w:r>
        <w:rPr>
          <w:rFonts w:ascii="FangSong_GB2312" w:hAnsi="FangSong_GB2312" w:eastAsia="FangSong_GB2312" w:cs="FangSong_GB2312"/>
          <w:spacing w:val="13"/>
          <w:sz w:val="31"/>
          <w:szCs w:val="31"/>
        </w:rPr>
        <w:t>合理布局进行重</w:t>
      </w:r>
    </w:p>
    <w:p w14:paraId="21C70F5C">
      <w:pPr>
        <w:spacing w:line="356" w:lineRule="auto"/>
        <w:rPr>
          <w:rFonts w:ascii="FangSong_GB2312" w:hAnsi="FangSong_GB2312" w:eastAsia="FangSong_GB2312" w:cs="FangSong_GB2312"/>
          <w:sz w:val="31"/>
          <w:szCs w:val="31"/>
        </w:rPr>
        <w:sectPr>
          <w:footerReference r:id="rId5" w:type="default"/>
          <w:pgSz w:w="11906" w:h="16838"/>
          <w:pgMar w:top="1431" w:right="1333" w:bottom="1195" w:left="1415" w:header="0" w:footer="829" w:gutter="0"/>
          <w:cols w:space="720" w:num="1"/>
        </w:sectPr>
      </w:pPr>
    </w:p>
    <w:p w14:paraId="35448E32">
      <w:pPr>
        <w:pStyle w:val="2"/>
        <w:spacing w:line="254" w:lineRule="auto"/>
      </w:pPr>
    </w:p>
    <w:p w14:paraId="08B8C732">
      <w:pPr>
        <w:pStyle w:val="2"/>
        <w:spacing w:line="254" w:lineRule="auto"/>
      </w:pPr>
    </w:p>
    <w:p w14:paraId="5655252C">
      <w:pPr>
        <w:pStyle w:val="2"/>
        <w:spacing w:line="255" w:lineRule="auto"/>
      </w:pPr>
    </w:p>
    <w:p w14:paraId="29BF8B18">
      <w:pPr>
        <w:spacing w:before="100" w:line="357" w:lineRule="auto"/>
        <w:ind w:left="16" w:firstLine="1"/>
        <w:rPr>
          <w:rFonts w:ascii="FangSong_GB2312" w:hAnsi="FangSong_GB2312" w:eastAsia="FangSong_GB2312" w:cs="FangSong_GB2312"/>
          <w:sz w:val="31"/>
          <w:szCs w:val="31"/>
        </w:rPr>
      </w:pPr>
      <w:r>
        <w:rPr>
          <w:rFonts w:ascii="FangSong_GB2312" w:hAnsi="FangSong_GB2312" w:eastAsia="FangSong_GB2312" w:cs="FangSong_GB2312"/>
          <w:spacing w:val="13"/>
          <w:sz w:val="31"/>
          <w:szCs w:val="31"/>
        </w:rPr>
        <w:t>新规划，现将《满洲里市烟草制品零售点合理布局规划》印发给</w:t>
      </w:r>
      <w:r>
        <w:rPr>
          <w:rFonts w:ascii="FangSong_GB2312" w:hAnsi="FangSong_GB2312" w:eastAsia="FangSong_GB2312" w:cs="FangSong_GB2312"/>
          <w:spacing w:val="6"/>
          <w:sz w:val="31"/>
          <w:szCs w:val="31"/>
        </w:rPr>
        <w:t>你们，请遵照执行。</w:t>
      </w:r>
    </w:p>
    <w:p w14:paraId="721A462A">
      <w:pPr>
        <w:pStyle w:val="2"/>
        <w:spacing w:line="245" w:lineRule="auto"/>
      </w:pPr>
    </w:p>
    <w:p w14:paraId="284735C4">
      <w:pPr>
        <w:pStyle w:val="2"/>
        <w:spacing w:line="246" w:lineRule="auto"/>
      </w:pPr>
    </w:p>
    <w:p w14:paraId="24DBA656">
      <w:pPr>
        <w:spacing w:before="101" w:line="219" w:lineRule="auto"/>
        <w:ind w:left="676"/>
        <w:rPr>
          <w:rFonts w:ascii="FangSong_GB2312" w:hAnsi="FangSong_GB2312" w:eastAsia="FangSong_GB2312" w:cs="FangSong_GB2312"/>
          <w:sz w:val="31"/>
          <w:szCs w:val="31"/>
        </w:rPr>
      </w:pPr>
      <w:r>
        <w:rPr>
          <w:rFonts w:ascii="FangSong_GB2312" w:hAnsi="FangSong_GB2312" w:eastAsia="FangSong_GB2312" w:cs="FangSong_GB2312"/>
          <w:spacing w:val="8"/>
          <w:sz w:val="31"/>
          <w:szCs w:val="31"/>
        </w:rPr>
        <w:t>附件：满洲里市烟草制品零售点合理布局规划</w:t>
      </w:r>
    </w:p>
    <w:p w14:paraId="33F13EE1">
      <w:pPr>
        <w:pStyle w:val="2"/>
        <w:spacing w:line="253" w:lineRule="auto"/>
      </w:pPr>
    </w:p>
    <w:p w14:paraId="6BAC55EB">
      <w:pPr>
        <w:pStyle w:val="2"/>
        <w:spacing w:line="253" w:lineRule="auto"/>
      </w:pPr>
    </w:p>
    <w:p w14:paraId="45A29AB4">
      <w:pPr>
        <w:pStyle w:val="2"/>
        <w:spacing w:line="253" w:lineRule="auto"/>
      </w:pPr>
    </w:p>
    <w:p w14:paraId="386A63FB">
      <w:pPr>
        <w:pStyle w:val="2"/>
        <w:spacing w:line="253" w:lineRule="auto"/>
      </w:pPr>
    </w:p>
    <w:p w14:paraId="6D423C1E">
      <w:pPr>
        <w:pStyle w:val="2"/>
        <w:spacing w:line="253" w:lineRule="auto"/>
      </w:pPr>
    </w:p>
    <w:p w14:paraId="6448A068">
      <w:pPr>
        <w:pStyle w:val="2"/>
        <w:spacing w:line="253" w:lineRule="auto"/>
      </w:pPr>
    </w:p>
    <w:p w14:paraId="575B01A1">
      <w:pPr>
        <w:pStyle w:val="2"/>
        <w:spacing w:line="253" w:lineRule="auto"/>
      </w:pPr>
    </w:p>
    <w:p w14:paraId="3E3C0E1F">
      <w:pPr>
        <w:pStyle w:val="2"/>
        <w:spacing w:line="253" w:lineRule="auto"/>
      </w:pPr>
    </w:p>
    <w:p w14:paraId="6742731B">
      <w:pPr>
        <w:pStyle w:val="2"/>
        <w:spacing w:line="253" w:lineRule="auto"/>
      </w:pPr>
    </w:p>
    <w:p w14:paraId="271B900C">
      <w:pPr>
        <w:pStyle w:val="2"/>
        <w:spacing w:line="253" w:lineRule="auto"/>
      </w:pPr>
    </w:p>
    <w:p w14:paraId="717D0242">
      <w:pPr>
        <w:spacing w:before="101" w:line="219" w:lineRule="auto"/>
        <w:ind w:left="3530"/>
        <w:rPr>
          <w:rFonts w:ascii="FangSong_GB2312" w:hAnsi="FangSong_GB2312" w:eastAsia="FangSong_GB2312" w:cs="FangSong_GB2312"/>
          <w:sz w:val="31"/>
          <w:szCs w:val="31"/>
        </w:rPr>
      </w:pPr>
      <w:r>
        <w:drawing>
          <wp:anchor distT="0" distB="0" distL="0" distR="0" simplePos="0" relativeHeight="251659264" behindDoc="1" locked="0" layoutInCell="1" allowOverlap="1">
            <wp:simplePos x="0" y="0"/>
            <wp:positionH relativeFrom="column">
              <wp:posOffset>2847975</wp:posOffset>
            </wp:positionH>
            <wp:positionV relativeFrom="paragraph">
              <wp:posOffset>-863600</wp:posOffset>
            </wp:positionV>
            <wp:extent cx="1569085" cy="1569085"/>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4"/>
                    <a:stretch>
                      <a:fillRect/>
                    </a:stretch>
                  </pic:blipFill>
                  <pic:spPr>
                    <a:xfrm>
                      <a:off x="0" y="0"/>
                      <a:ext cx="1569374" cy="1569374"/>
                    </a:xfrm>
                    <a:prstGeom prst="rect">
                      <a:avLst/>
                    </a:prstGeom>
                  </pic:spPr>
                </pic:pic>
              </a:graphicData>
            </a:graphic>
          </wp:anchor>
        </w:drawing>
      </w:r>
      <w:r>
        <w:rPr>
          <w:rFonts w:ascii="FangSong_GB2312" w:hAnsi="FangSong_GB2312" w:eastAsia="FangSong_GB2312" w:cs="FangSong_GB2312"/>
          <w:spacing w:val="6"/>
          <w:sz w:val="31"/>
          <w:szCs w:val="31"/>
        </w:rPr>
        <w:t>内蒙古自治区满洲里市烟草专卖局</w:t>
      </w:r>
    </w:p>
    <w:p w14:paraId="02134AF9">
      <w:pPr>
        <w:spacing w:before="236" w:line="220" w:lineRule="auto"/>
        <w:ind w:left="4666"/>
        <w:rPr>
          <w:rFonts w:ascii="FangSong_GB2312" w:hAnsi="FangSong_GB2312" w:eastAsia="FangSong_GB2312" w:cs="FangSong_GB2312"/>
          <w:sz w:val="31"/>
          <w:szCs w:val="31"/>
        </w:rPr>
      </w:pPr>
      <w:r>
        <w:rPr>
          <w:rFonts w:ascii="FangSong_GB2312" w:hAnsi="FangSong_GB2312" w:eastAsia="FangSong_GB2312" w:cs="FangSong_GB2312"/>
          <w:spacing w:val="-8"/>
          <w:sz w:val="31"/>
          <w:szCs w:val="31"/>
        </w:rPr>
        <w:t>2026</w:t>
      </w:r>
      <w:r>
        <w:rPr>
          <w:rFonts w:ascii="FangSong_GB2312" w:hAnsi="FangSong_GB2312" w:eastAsia="FangSong_GB2312" w:cs="FangSong_GB2312"/>
          <w:spacing w:val="-59"/>
          <w:sz w:val="31"/>
          <w:szCs w:val="31"/>
        </w:rPr>
        <w:t xml:space="preserve"> </w:t>
      </w:r>
      <w:r>
        <w:rPr>
          <w:rFonts w:ascii="FangSong_GB2312" w:hAnsi="FangSong_GB2312" w:eastAsia="FangSong_GB2312" w:cs="FangSong_GB2312"/>
          <w:spacing w:val="-8"/>
          <w:sz w:val="31"/>
          <w:szCs w:val="31"/>
        </w:rPr>
        <w:t>年</w:t>
      </w:r>
      <w:r>
        <w:rPr>
          <w:rFonts w:ascii="FangSong_GB2312" w:hAnsi="FangSong_GB2312" w:eastAsia="FangSong_GB2312" w:cs="FangSong_GB2312"/>
          <w:spacing w:val="-51"/>
          <w:sz w:val="31"/>
          <w:szCs w:val="31"/>
        </w:rPr>
        <w:t xml:space="preserve"> </w:t>
      </w:r>
      <w:r>
        <w:rPr>
          <w:rFonts w:ascii="FangSong_GB2312" w:hAnsi="FangSong_GB2312" w:eastAsia="FangSong_GB2312" w:cs="FangSong_GB2312"/>
          <w:spacing w:val="-8"/>
          <w:sz w:val="31"/>
          <w:szCs w:val="31"/>
        </w:rPr>
        <w:t>2</w:t>
      </w:r>
      <w:r>
        <w:rPr>
          <w:rFonts w:ascii="FangSong_GB2312" w:hAnsi="FangSong_GB2312" w:eastAsia="FangSong_GB2312" w:cs="FangSong_GB2312"/>
          <w:spacing w:val="-45"/>
          <w:sz w:val="31"/>
          <w:szCs w:val="31"/>
        </w:rPr>
        <w:t xml:space="preserve"> </w:t>
      </w:r>
      <w:r>
        <w:rPr>
          <w:rFonts w:ascii="FangSong_GB2312" w:hAnsi="FangSong_GB2312" w:eastAsia="FangSong_GB2312" w:cs="FangSong_GB2312"/>
          <w:spacing w:val="-8"/>
          <w:sz w:val="31"/>
          <w:szCs w:val="31"/>
        </w:rPr>
        <w:t>月</w:t>
      </w:r>
      <w:r>
        <w:rPr>
          <w:rFonts w:ascii="FangSong_GB2312" w:hAnsi="FangSong_GB2312" w:eastAsia="FangSong_GB2312" w:cs="FangSong_GB2312"/>
          <w:spacing w:val="-45"/>
          <w:sz w:val="31"/>
          <w:szCs w:val="31"/>
        </w:rPr>
        <w:t xml:space="preserve"> </w:t>
      </w:r>
      <w:r>
        <w:rPr>
          <w:rFonts w:ascii="FangSong_GB2312" w:hAnsi="FangSong_GB2312" w:eastAsia="FangSong_GB2312" w:cs="FangSong_GB2312"/>
          <w:spacing w:val="-8"/>
          <w:sz w:val="31"/>
          <w:szCs w:val="31"/>
        </w:rPr>
        <w:t>5 日</w:t>
      </w:r>
    </w:p>
    <w:p w14:paraId="28D964B5">
      <w:pPr>
        <w:spacing w:before="228" w:line="222" w:lineRule="auto"/>
        <w:ind w:left="645"/>
        <w:rPr>
          <w:rFonts w:ascii="FangSong_GB2312" w:hAnsi="FangSong_GB2312" w:eastAsia="FangSong_GB2312" w:cs="FangSong_GB2312"/>
          <w:sz w:val="31"/>
          <w:szCs w:val="31"/>
        </w:rPr>
      </w:pPr>
      <w:r>
        <w:rPr>
          <w:rFonts w:ascii="FangSong_GB2312" w:hAnsi="FangSong_GB2312" w:eastAsia="FangSong_GB2312" w:cs="FangSong_GB2312"/>
          <w:spacing w:val="7"/>
          <w:sz w:val="31"/>
          <w:szCs w:val="31"/>
        </w:rPr>
        <w:t>（可公开）</w:t>
      </w:r>
    </w:p>
    <w:p w14:paraId="435CBE3F">
      <w:pPr>
        <w:spacing w:line="222" w:lineRule="auto"/>
        <w:rPr>
          <w:rFonts w:ascii="FangSong_GB2312" w:hAnsi="FangSong_GB2312" w:eastAsia="FangSong_GB2312" w:cs="FangSong_GB2312"/>
          <w:sz w:val="31"/>
          <w:szCs w:val="31"/>
        </w:rPr>
        <w:sectPr>
          <w:footerReference r:id="rId6" w:type="default"/>
          <w:pgSz w:w="11906" w:h="16838"/>
          <w:pgMar w:top="1431" w:right="1414" w:bottom="1195" w:left="1415" w:header="0" w:footer="829" w:gutter="0"/>
          <w:cols w:space="720" w:num="1"/>
        </w:sectPr>
      </w:pPr>
    </w:p>
    <w:p w14:paraId="75C7BC5A">
      <w:pPr>
        <w:pStyle w:val="2"/>
        <w:spacing w:line="350" w:lineRule="auto"/>
      </w:pPr>
    </w:p>
    <w:p w14:paraId="122A16B7">
      <w:pPr>
        <w:pStyle w:val="2"/>
        <w:spacing w:line="350" w:lineRule="auto"/>
      </w:pPr>
    </w:p>
    <w:p w14:paraId="62AEBF2F">
      <w:pPr>
        <w:spacing w:before="166" w:line="239" w:lineRule="auto"/>
        <w:ind w:left="796"/>
        <w:rPr>
          <w:rFonts w:ascii="方正小标宋简体" w:hAnsi="方正小标宋简体" w:eastAsia="方正小标宋简体" w:cs="方正小标宋简体"/>
          <w:sz w:val="43"/>
          <w:szCs w:val="43"/>
        </w:rPr>
      </w:pPr>
      <w:r>
        <w:rPr>
          <w:rFonts w:ascii="方正小标宋简体" w:hAnsi="方正小标宋简体" w:eastAsia="方正小标宋简体" w:cs="方正小标宋简体"/>
          <w:color w:val="333333"/>
          <w:spacing w:val="9"/>
          <w:sz w:val="43"/>
          <w:szCs w:val="43"/>
        </w:rPr>
        <w:t>满洲里市烟草制品零售点合理布局规划</w:t>
      </w:r>
    </w:p>
    <w:p w14:paraId="2F6EC61B">
      <w:pPr>
        <w:pStyle w:val="2"/>
        <w:spacing w:line="242" w:lineRule="auto"/>
      </w:pPr>
    </w:p>
    <w:p w14:paraId="128DF340">
      <w:pPr>
        <w:pStyle w:val="2"/>
        <w:spacing w:line="243" w:lineRule="auto"/>
      </w:pPr>
    </w:p>
    <w:p w14:paraId="0E081660">
      <w:pPr>
        <w:pStyle w:val="2"/>
        <w:spacing w:line="243" w:lineRule="auto"/>
      </w:pPr>
    </w:p>
    <w:p w14:paraId="7CBF0BA2">
      <w:pPr>
        <w:spacing w:before="101" w:line="227" w:lineRule="auto"/>
        <w:ind w:left="3501"/>
        <w:outlineLvl w:val="0"/>
        <w:rPr>
          <w:rFonts w:ascii="黑体" w:hAnsi="黑体" w:eastAsia="黑体" w:cs="黑体"/>
          <w:sz w:val="31"/>
          <w:szCs w:val="31"/>
        </w:rPr>
      </w:pPr>
      <w:r>
        <w:rPr>
          <w:rFonts w:ascii="黑体" w:hAnsi="黑体" w:eastAsia="黑体" w:cs="黑体"/>
          <w:spacing w:val="1"/>
          <w:sz w:val="31"/>
          <w:szCs w:val="31"/>
        </w:rPr>
        <w:t>第一章</w:t>
      </w:r>
      <w:r>
        <w:rPr>
          <w:rFonts w:ascii="黑体" w:hAnsi="黑体" w:eastAsia="黑体" w:cs="黑体"/>
          <w:spacing w:val="26"/>
          <w:sz w:val="31"/>
          <w:szCs w:val="31"/>
        </w:rPr>
        <w:t xml:space="preserve"> </w:t>
      </w:r>
      <w:r>
        <w:rPr>
          <w:rFonts w:ascii="黑体" w:hAnsi="黑体" w:eastAsia="黑体" w:cs="黑体"/>
          <w:spacing w:val="1"/>
          <w:sz w:val="31"/>
          <w:szCs w:val="31"/>
        </w:rPr>
        <w:t>总</w:t>
      </w:r>
      <w:r>
        <w:rPr>
          <w:rFonts w:ascii="黑体" w:hAnsi="黑体" w:eastAsia="黑体" w:cs="黑体"/>
          <w:spacing w:val="10"/>
          <w:sz w:val="31"/>
          <w:szCs w:val="31"/>
        </w:rPr>
        <w:t xml:space="preserve">  </w:t>
      </w:r>
      <w:r>
        <w:rPr>
          <w:rFonts w:ascii="黑体" w:hAnsi="黑体" w:eastAsia="黑体" w:cs="黑体"/>
          <w:spacing w:val="1"/>
          <w:sz w:val="31"/>
          <w:szCs w:val="31"/>
        </w:rPr>
        <w:t>则</w:t>
      </w:r>
    </w:p>
    <w:p w14:paraId="1CBAE0E1">
      <w:pPr>
        <w:spacing w:before="193" w:line="329" w:lineRule="auto"/>
        <w:ind w:left="8" w:right="7" w:firstLine="636"/>
        <w:rPr>
          <w:rFonts w:ascii="FangSong_GB2312" w:hAnsi="FangSong_GB2312" w:eastAsia="FangSong_GB2312" w:cs="FangSong_GB2312"/>
          <w:sz w:val="31"/>
          <w:szCs w:val="31"/>
        </w:rPr>
      </w:pPr>
      <w:r>
        <w:rPr>
          <w:rFonts w:ascii="黑体" w:hAnsi="黑体" w:eastAsia="黑体" w:cs="黑体"/>
          <w:spacing w:val="18"/>
          <w:sz w:val="31"/>
          <w:szCs w:val="31"/>
        </w:rPr>
        <w:t>第一条</w:t>
      </w:r>
      <w:r>
        <w:rPr>
          <w:rFonts w:ascii="黑体" w:hAnsi="黑体" w:eastAsia="黑体" w:cs="黑体"/>
          <w:spacing w:val="71"/>
          <w:sz w:val="31"/>
          <w:szCs w:val="31"/>
        </w:rPr>
        <w:t xml:space="preserve"> </w:t>
      </w:r>
      <w:r>
        <w:rPr>
          <w:rFonts w:ascii="FangSong_GB2312" w:hAnsi="FangSong_GB2312" w:eastAsia="FangSong_GB2312" w:cs="FangSong_GB2312"/>
          <w:spacing w:val="18"/>
          <w:sz w:val="31"/>
          <w:szCs w:val="31"/>
        </w:rPr>
        <w:t>为维护国家烟草专卖制度，规范烟草</w:t>
      </w:r>
      <w:r>
        <w:rPr>
          <w:rFonts w:ascii="FangSong_GB2312" w:hAnsi="FangSong_GB2312" w:eastAsia="FangSong_GB2312" w:cs="FangSong_GB2312"/>
          <w:spacing w:val="17"/>
          <w:sz w:val="31"/>
          <w:szCs w:val="31"/>
        </w:rPr>
        <w:t>制品零售市场</w:t>
      </w:r>
      <w:r>
        <w:rPr>
          <w:rFonts w:ascii="FangSong_GB2312" w:hAnsi="FangSong_GB2312" w:eastAsia="FangSong_GB2312" w:cs="FangSong_GB2312"/>
          <w:spacing w:val="5"/>
          <w:sz w:val="31"/>
          <w:szCs w:val="31"/>
        </w:rPr>
        <w:t>经营秩序，加强烟草专卖零售许可管理，促进烟草市场健康发展，</w:t>
      </w:r>
      <w:r>
        <w:rPr>
          <w:rFonts w:ascii="FangSong_GB2312" w:hAnsi="FangSong_GB2312" w:eastAsia="FangSong_GB2312" w:cs="FangSong_GB2312"/>
          <w:spacing w:val="13"/>
          <w:sz w:val="31"/>
          <w:szCs w:val="31"/>
        </w:rPr>
        <w:t>维护国家利益和消费者的合法权益，依据《中华人民共和国行政</w:t>
      </w:r>
      <w:r>
        <w:rPr>
          <w:rFonts w:ascii="FangSong_GB2312" w:hAnsi="FangSong_GB2312" w:eastAsia="FangSong_GB2312" w:cs="FangSong_GB2312"/>
          <w:spacing w:val="2"/>
          <w:sz w:val="31"/>
          <w:szCs w:val="31"/>
        </w:rPr>
        <w:t>许可法》《中华人民共和国未成年人保护法》《中华人民共和国烟草专卖法》《中华人民共和国烟草专卖法实施条例》《烟草专卖许</w:t>
      </w:r>
      <w:r>
        <w:rPr>
          <w:rFonts w:ascii="FangSong_GB2312" w:hAnsi="FangSong_GB2312" w:eastAsia="FangSong_GB2312" w:cs="FangSong_GB2312"/>
          <w:spacing w:val="13"/>
          <w:sz w:val="31"/>
          <w:szCs w:val="31"/>
        </w:rPr>
        <w:t>可证管理办法》和《烟草专卖许可证管理办法实施细则》等相关法律法规、规章及规范性文件规定，结合满洲里市辖区实际，制</w:t>
      </w:r>
      <w:r>
        <w:rPr>
          <w:rFonts w:ascii="FangSong_GB2312" w:hAnsi="FangSong_GB2312" w:eastAsia="FangSong_GB2312" w:cs="FangSong_GB2312"/>
          <w:spacing w:val="-5"/>
          <w:sz w:val="31"/>
          <w:szCs w:val="31"/>
        </w:rPr>
        <w:t>定本规划。</w:t>
      </w:r>
    </w:p>
    <w:p w14:paraId="6E197B86">
      <w:pPr>
        <w:spacing w:before="207" w:line="303" w:lineRule="auto"/>
        <w:ind w:right="88" w:firstLine="645"/>
        <w:rPr>
          <w:rFonts w:ascii="FangSong_GB2312" w:hAnsi="FangSong_GB2312" w:eastAsia="FangSong_GB2312" w:cs="FangSong_GB2312"/>
          <w:sz w:val="31"/>
          <w:szCs w:val="31"/>
        </w:rPr>
      </w:pPr>
      <w:r>
        <w:rPr>
          <w:rFonts w:ascii="黑体" w:hAnsi="黑体" w:eastAsia="黑体" w:cs="黑体"/>
          <w:spacing w:val="7"/>
          <w:sz w:val="31"/>
          <w:szCs w:val="31"/>
        </w:rPr>
        <w:t xml:space="preserve">第二条 </w:t>
      </w:r>
      <w:r>
        <w:rPr>
          <w:rFonts w:ascii="FangSong_GB2312" w:hAnsi="FangSong_GB2312" w:eastAsia="FangSong_GB2312" w:cs="FangSong_GB2312"/>
          <w:spacing w:val="7"/>
          <w:sz w:val="31"/>
          <w:szCs w:val="31"/>
        </w:rPr>
        <w:t>本规划所称烟草制品零售点（以下简称零售点）是指</w:t>
      </w:r>
      <w:r>
        <w:rPr>
          <w:rFonts w:ascii="FangSong_GB2312" w:hAnsi="FangSong_GB2312" w:eastAsia="FangSong_GB2312" w:cs="FangSong_GB2312"/>
          <w:spacing w:val="14"/>
          <w:sz w:val="31"/>
          <w:szCs w:val="31"/>
        </w:rPr>
        <w:t>依法取得烟草专卖零售许可证的公民、法人和其他</w:t>
      </w:r>
      <w:r>
        <w:rPr>
          <w:rFonts w:ascii="FangSong_GB2312" w:hAnsi="FangSong_GB2312" w:eastAsia="FangSong_GB2312" w:cs="FangSong_GB2312"/>
          <w:spacing w:val="13"/>
          <w:sz w:val="31"/>
          <w:szCs w:val="31"/>
        </w:rPr>
        <w:t>组织从事烟草</w:t>
      </w:r>
      <w:r>
        <w:rPr>
          <w:rFonts w:ascii="FangSong_GB2312" w:hAnsi="FangSong_GB2312" w:eastAsia="FangSong_GB2312" w:cs="FangSong_GB2312"/>
          <w:spacing w:val="8"/>
          <w:sz w:val="31"/>
          <w:szCs w:val="31"/>
        </w:rPr>
        <w:t>制品零售业务的经营场所。</w:t>
      </w:r>
    </w:p>
    <w:p w14:paraId="2866E593">
      <w:pPr>
        <w:spacing w:before="204" w:line="283" w:lineRule="auto"/>
        <w:ind w:left="48" w:right="94" w:firstLine="520"/>
        <w:rPr>
          <w:rFonts w:ascii="FangSong_GB2312" w:hAnsi="FangSong_GB2312" w:eastAsia="FangSong_GB2312" w:cs="FangSong_GB2312"/>
          <w:sz w:val="31"/>
          <w:szCs w:val="31"/>
        </w:rPr>
      </w:pPr>
      <w:r>
        <w:rPr>
          <w:rFonts w:ascii="黑体" w:hAnsi="黑体" w:eastAsia="黑体" w:cs="黑体"/>
          <w:spacing w:val="10"/>
          <w:sz w:val="31"/>
          <w:szCs w:val="31"/>
        </w:rPr>
        <w:t xml:space="preserve">第三条 </w:t>
      </w:r>
      <w:r>
        <w:rPr>
          <w:rFonts w:ascii="FangSong_GB2312" w:hAnsi="FangSong_GB2312" w:eastAsia="FangSong_GB2312" w:cs="FangSong_GB2312"/>
          <w:spacing w:val="10"/>
          <w:sz w:val="31"/>
          <w:szCs w:val="31"/>
        </w:rPr>
        <w:t>本规划适用于内蒙古自治区满洲里市烟草专卖局管辖</w:t>
      </w:r>
      <w:r>
        <w:rPr>
          <w:rFonts w:ascii="FangSong_GB2312" w:hAnsi="FangSong_GB2312" w:eastAsia="FangSong_GB2312" w:cs="FangSong_GB2312"/>
          <w:spacing w:val="4"/>
          <w:sz w:val="31"/>
          <w:szCs w:val="31"/>
        </w:rPr>
        <w:t>区域范围内烟草制品零售点的设置与管理。</w:t>
      </w:r>
    </w:p>
    <w:p w14:paraId="63272233">
      <w:pPr>
        <w:spacing w:before="211" w:line="319" w:lineRule="auto"/>
        <w:ind w:left="5" w:firstLine="640"/>
        <w:rPr>
          <w:rFonts w:ascii="FangSong_GB2312" w:hAnsi="FangSong_GB2312" w:eastAsia="FangSong_GB2312" w:cs="FangSong_GB2312"/>
          <w:sz w:val="31"/>
          <w:szCs w:val="31"/>
        </w:rPr>
      </w:pPr>
      <w:r>
        <w:rPr>
          <w:rFonts w:ascii="黑体" w:hAnsi="黑体" w:eastAsia="黑体" w:cs="黑体"/>
          <w:spacing w:val="7"/>
          <w:sz w:val="31"/>
          <w:szCs w:val="31"/>
        </w:rPr>
        <w:t xml:space="preserve">第四条 </w:t>
      </w:r>
      <w:r>
        <w:rPr>
          <w:rFonts w:ascii="FangSong_GB2312" w:hAnsi="FangSong_GB2312" w:eastAsia="FangSong_GB2312" w:cs="FangSong_GB2312"/>
          <w:spacing w:val="7"/>
          <w:sz w:val="31"/>
          <w:szCs w:val="31"/>
        </w:rPr>
        <w:t>本规划遵循依法行政、科学规划、服务社会、均衡发</w:t>
      </w:r>
      <w:r>
        <w:rPr>
          <w:rFonts w:ascii="FangSong_GB2312" w:hAnsi="FangSong_GB2312" w:eastAsia="FangSong_GB2312" w:cs="FangSong_GB2312"/>
          <w:spacing w:val="13"/>
          <w:sz w:val="31"/>
          <w:szCs w:val="31"/>
        </w:rPr>
        <w:t>展的原则，并综合考虑辖区内人口数量、交通状况、经济发展水</w:t>
      </w:r>
      <w:r>
        <w:rPr>
          <w:rFonts w:ascii="FangSong_GB2312" w:hAnsi="FangSong_GB2312" w:eastAsia="FangSong_GB2312" w:cs="FangSong_GB2312"/>
          <w:spacing w:val="5"/>
          <w:sz w:val="31"/>
          <w:szCs w:val="31"/>
        </w:rPr>
        <w:t>平、卷烟消费水平、卷烟销量、户均订购量、户均毛利率等因素。</w:t>
      </w:r>
      <w:r>
        <w:rPr>
          <w:rFonts w:ascii="FangSong_GB2312" w:hAnsi="FangSong_GB2312" w:eastAsia="FangSong_GB2312" w:cs="FangSong_GB2312"/>
          <w:spacing w:val="13"/>
          <w:sz w:val="31"/>
          <w:szCs w:val="31"/>
        </w:rPr>
        <w:t>参照全区平均持证比水平核定行政区域内零售点合理容量，对区域单元内零售点容量进行总量规划，具体划分情况详见《满洲里</w:t>
      </w:r>
    </w:p>
    <w:p w14:paraId="3EC60FDA">
      <w:pPr>
        <w:spacing w:line="319" w:lineRule="auto"/>
        <w:rPr>
          <w:rFonts w:ascii="FangSong_GB2312" w:hAnsi="FangSong_GB2312" w:eastAsia="FangSong_GB2312" w:cs="FangSong_GB2312"/>
          <w:sz w:val="31"/>
          <w:szCs w:val="31"/>
        </w:rPr>
        <w:sectPr>
          <w:footerReference r:id="rId7" w:type="default"/>
          <w:pgSz w:w="11906" w:h="16838"/>
          <w:pgMar w:top="1431" w:right="1326" w:bottom="1195" w:left="1423" w:header="0" w:footer="831" w:gutter="0"/>
          <w:cols w:space="720" w:num="1"/>
        </w:sectPr>
      </w:pPr>
    </w:p>
    <w:p w14:paraId="66D1A58E">
      <w:pPr>
        <w:pStyle w:val="2"/>
        <w:spacing w:line="249" w:lineRule="auto"/>
      </w:pPr>
    </w:p>
    <w:p w14:paraId="45F1012F">
      <w:pPr>
        <w:pStyle w:val="2"/>
        <w:spacing w:line="249" w:lineRule="auto"/>
      </w:pPr>
    </w:p>
    <w:p w14:paraId="5C8FE861">
      <w:pPr>
        <w:pStyle w:val="2"/>
        <w:spacing w:line="250" w:lineRule="auto"/>
      </w:pPr>
    </w:p>
    <w:p w14:paraId="5D44BEE6">
      <w:pPr>
        <w:spacing w:before="100" w:line="221" w:lineRule="auto"/>
        <w:ind w:left="26"/>
        <w:rPr>
          <w:rFonts w:ascii="FangSong_GB2312" w:hAnsi="FangSong_GB2312" w:eastAsia="FangSong_GB2312" w:cs="FangSong_GB2312"/>
          <w:sz w:val="31"/>
          <w:szCs w:val="31"/>
        </w:rPr>
      </w:pPr>
      <w:r>
        <w:rPr>
          <w:rFonts w:ascii="FangSong_GB2312" w:hAnsi="FangSong_GB2312" w:eastAsia="FangSong_GB2312" w:cs="FangSong_GB2312"/>
          <w:spacing w:val="-7"/>
          <w:sz w:val="31"/>
          <w:szCs w:val="31"/>
        </w:rPr>
        <w:t>市烟草制品零售点合理布局规划表》（附件</w:t>
      </w:r>
      <w:r>
        <w:rPr>
          <w:rFonts w:ascii="FangSong_GB2312" w:hAnsi="FangSong_GB2312" w:eastAsia="FangSong_GB2312" w:cs="FangSong_GB2312"/>
          <w:spacing w:val="-27"/>
          <w:sz w:val="31"/>
          <w:szCs w:val="31"/>
        </w:rPr>
        <w:t xml:space="preserve"> </w:t>
      </w:r>
      <w:r>
        <w:rPr>
          <w:rFonts w:ascii="FangSong_GB2312" w:hAnsi="FangSong_GB2312" w:eastAsia="FangSong_GB2312" w:cs="FangSong_GB2312"/>
          <w:spacing w:val="-7"/>
          <w:sz w:val="31"/>
          <w:szCs w:val="31"/>
        </w:rPr>
        <w:t>1）。</w:t>
      </w:r>
    </w:p>
    <w:p w14:paraId="4F33BCCA">
      <w:pPr>
        <w:spacing w:before="205" w:line="278" w:lineRule="auto"/>
        <w:ind w:left="18" w:right="312" w:firstLine="634"/>
        <w:jc w:val="both"/>
        <w:rPr>
          <w:rFonts w:ascii="FangSong_GB2312" w:hAnsi="FangSong_GB2312" w:eastAsia="FangSong_GB2312" w:cs="FangSong_GB2312"/>
          <w:sz w:val="31"/>
          <w:szCs w:val="31"/>
        </w:rPr>
      </w:pPr>
      <w:r>
        <w:rPr>
          <w:rFonts w:ascii="黑体" w:hAnsi="黑体" w:eastAsia="黑体" w:cs="黑体"/>
          <w:spacing w:val="7"/>
          <w:sz w:val="31"/>
          <w:szCs w:val="31"/>
        </w:rPr>
        <w:t xml:space="preserve">第五条 </w:t>
      </w:r>
      <w:r>
        <w:rPr>
          <w:rFonts w:ascii="FangSong_GB2312" w:hAnsi="FangSong_GB2312" w:eastAsia="FangSong_GB2312" w:cs="FangSong_GB2312"/>
          <w:spacing w:val="7"/>
          <w:sz w:val="31"/>
          <w:szCs w:val="31"/>
        </w:rPr>
        <w:t>零售点布局规划数量实行动态管理。各区域单元的烟</w:t>
      </w:r>
      <w:r>
        <w:rPr>
          <w:rFonts w:ascii="FangSong_GB2312" w:hAnsi="FangSong_GB2312" w:eastAsia="FangSong_GB2312" w:cs="FangSong_GB2312"/>
          <w:spacing w:val="13"/>
          <w:sz w:val="31"/>
          <w:szCs w:val="31"/>
        </w:rPr>
        <w:t>草制品零售点数量变化情况，原则上每年年底通过</w:t>
      </w:r>
      <w:r>
        <w:rPr>
          <w:rFonts w:ascii="微软雅黑" w:hAnsi="微软雅黑" w:eastAsia="微软雅黑" w:cs="微软雅黑"/>
          <w:spacing w:val="13"/>
          <w:sz w:val="31"/>
          <w:szCs w:val="31"/>
        </w:rPr>
        <w:t>呼伦贝尔市人民政府网站或满洲里市行政审批政务服务与数据管理局办公场所</w:t>
      </w:r>
      <w:r>
        <w:rPr>
          <w:rFonts w:ascii="微软雅黑" w:hAnsi="微软雅黑" w:eastAsia="微软雅黑" w:cs="微软雅黑"/>
          <w:sz w:val="31"/>
          <w:szCs w:val="31"/>
        </w:rPr>
        <w:t>公示栏</w:t>
      </w:r>
      <w:r>
        <w:rPr>
          <w:rFonts w:ascii="FangSong_GB2312" w:hAnsi="FangSong_GB2312" w:eastAsia="FangSong_GB2312" w:cs="FangSong_GB2312"/>
          <w:sz w:val="31"/>
          <w:szCs w:val="31"/>
        </w:rPr>
        <w:t>对外公示。</w:t>
      </w:r>
    </w:p>
    <w:p w14:paraId="13388D8D">
      <w:pPr>
        <w:spacing w:line="227" w:lineRule="auto"/>
        <w:ind w:left="3029"/>
        <w:outlineLvl w:val="0"/>
        <w:rPr>
          <w:rFonts w:ascii="黑体" w:hAnsi="黑体" w:eastAsia="黑体" w:cs="黑体"/>
          <w:sz w:val="31"/>
          <w:szCs w:val="31"/>
        </w:rPr>
      </w:pPr>
      <w:r>
        <w:rPr>
          <w:rFonts w:ascii="黑体" w:hAnsi="黑体" w:eastAsia="黑体" w:cs="黑体"/>
          <w:spacing w:val="8"/>
          <w:sz w:val="31"/>
          <w:szCs w:val="31"/>
        </w:rPr>
        <w:t>第二章 布局设定标准</w:t>
      </w:r>
    </w:p>
    <w:p w14:paraId="7E30566D">
      <w:pPr>
        <w:spacing w:before="196" w:line="313" w:lineRule="auto"/>
        <w:ind w:left="20" w:firstLine="633"/>
        <w:rPr>
          <w:rFonts w:ascii="FangSong_GB2312" w:hAnsi="FangSong_GB2312" w:eastAsia="FangSong_GB2312" w:cs="FangSong_GB2312"/>
          <w:sz w:val="31"/>
          <w:szCs w:val="31"/>
        </w:rPr>
      </w:pPr>
      <w:r>
        <w:rPr>
          <w:rFonts w:ascii="黑体" w:hAnsi="黑体" w:eastAsia="黑体" w:cs="黑体"/>
          <w:spacing w:val="15"/>
          <w:sz w:val="31"/>
          <w:szCs w:val="31"/>
        </w:rPr>
        <w:t>第六条</w:t>
      </w:r>
      <w:r>
        <w:rPr>
          <w:rFonts w:ascii="黑体" w:hAnsi="黑体" w:eastAsia="黑体" w:cs="黑体"/>
          <w:spacing w:val="141"/>
          <w:sz w:val="31"/>
          <w:szCs w:val="31"/>
        </w:rPr>
        <w:t xml:space="preserve"> </w:t>
      </w:r>
      <w:r>
        <w:rPr>
          <w:rFonts w:ascii="FangSong_GB2312" w:hAnsi="FangSong_GB2312" w:eastAsia="FangSong_GB2312" w:cs="FangSong_GB2312"/>
          <w:spacing w:val="15"/>
          <w:sz w:val="31"/>
          <w:szCs w:val="31"/>
        </w:rPr>
        <w:t>本规划零售点布局采取区域单元容量限制与间距要</w:t>
      </w:r>
      <w:r>
        <w:rPr>
          <w:rFonts w:ascii="FangSong_GB2312" w:hAnsi="FangSong_GB2312" w:eastAsia="FangSong_GB2312" w:cs="FangSong_GB2312"/>
          <w:spacing w:val="7"/>
          <w:sz w:val="31"/>
          <w:szCs w:val="31"/>
        </w:rPr>
        <w:t>求相结合方式，即“容量+间距”模式，区域单元内零售点数量达</w:t>
      </w:r>
      <w:r>
        <w:rPr>
          <w:rFonts w:ascii="FangSong_GB2312" w:hAnsi="FangSong_GB2312" w:eastAsia="FangSong_GB2312" w:cs="FangSong_GB2312"/>
          <w:spacing w:val="3"/>
          <w:sz w:val="31"/>
          <w:szCs w:val="31"/>
        </w:rPr>
        <w:t xml:space="preserve"> </w:t>
      </w:r>
      <w:r>
        <w:rPr>
          <w:rFonts w:ascii="FangSong_GB2312" w:hAnsi="FangSong_GB2312" w:eastAsia="FangSong_GB2312" w:cs="FangSong_GB2312"/>
          <w:spacing w:val="13"/>
          <w:sz w:val="31"/>
          <w:szCs w:val="31"/>
        </w:rPr>
        <w:t>到容量上限后，应当按照申请主体所属区域单元情况“退一进一”</w:t>
      </w:r>
      <w:r>
        <w:rPr>
          <w:rFonts w:ascii="FangSong_GB2312" w:hAnsi="FangSong_GB2312" w:eastAsia="FangSong_GB2312" w:cs="FangSong_GB2312"/>
          <w:spacing w:val="7"/>
          <w:sz w:val="31"/>
          <w:szCs w:val="31"/>
        </w:rPr>
        <w:t>和行政许可受理在先的原则整体保持零售户数量合理</w:t>
      </w:r>
      <w:r>
        <w:rPr>
          <w:rFonts w:ascii="FangSong_GB2312" w:hAnsi="FangSong_GB2312" w:eastAsia="FangSong_GB2312" w:cs="FangSong_GB2312"/>
          <w:spacing w:val="6"/>
          <w:sz w:val="31"/>
          <w:szCs w:val="31"/>
        </w:rPr>
        <w:t>稳定。</w:t>
      </w:r>
    </w:p>
    <w:p w14:paraId="18BF2144">
      <w:pPr>
        <w:spacing w:before="209" w:line="282" w:lineRule="auto"/>
        <w:ind w:left="9" w:right="313" w:firstLine="643"/>
        <w:rPr>
          <w:rFonts w:ascii="FangSong_GB2312" w:hAnsi="FangSong_GB2312" w:eastAsia="FangSong_GB2312" w:cs="FangSong_GB2312"/>
          <w:sz w:val="31"/>
          <w:szCs w:val="31"/>
        </w:rPr>
      </w:pPr>
      <w:r>
        <w:rPr>
          <w:rFonts w:ascii="黑体" w:hAnsi="黑体" w:eastAsia="黑体" w:cs="黑体"/>
          <w:spacing w:val="18"/>
          <w:sz w:val="31"/>
          <w:szCs w:val="31"/>
        </w:rPr>
        <w:t>第七条</w:t>
      </w:r>
      <w:r>
        <w:rPr>
          <w:rFonts w:ascii="黑体" w:hAnsi="黑体" w:eastAsia="黑体" w:cs="黑体"/>
          <w:spacing w:val="64"/>
          <w:sz w:val="31"/>
          <w:szCs w:val="31"/>
        </w:rPr>
        <w:t xml:space="preserve"> </w:t>
      </w:r>
      <w:r>
        <w:rPr>
          <w:rFonts w:ascii="FangSong_GB2312" w:hAnsi="FangSong_GB2312" w:eastAsia="FangSong_GB2312" w:cs="FangSong_GB2312"/>
          <w:spacing w:val="18"/>
          <w:sz w:val="31"/>
          <w:szCs w:val="31"/>
        </w:rPr>
        <w:t>零售点布局间距在符合下列标准的同时应当符合所</w:t>
      </w:r>
      <w:r>
        <w:rPr>
          <w:rFonts w:ascii="FangSong_GB2312" w:hAnsi="FangSong_GB2312" w:eastAsia="FangSong_GB2312" w:cs="FangSong_GB2312"/>
          <w:spacing w:val="4"/>
          <w:sz w:val="31"/>
          <w:szCs w:val="31"/>
        </w:rPr>
        <w:t>属区域单元零售点容量标准：</w:t>
      </w:r>
    </w:p>
    <w:p w14:paraId="58C385E4">
      <w:pPr>
        <w:spacing w:before="210" w:line="230" w:lineRule="auto"/>
        <w:ind w:left="678"/>
        <w:rPr>
          <w:rFonts w:ascii="楷体" w:hAnsi="楷体" w:eastAsia="楷体" w:cs="楷体"/>
          <w:sz w:val="31"/>
          <w:szCs w:val="31"/>
        </w:rPr>
      </w:pPr>
      <w:r>
        <w:rPr>
          <w:rFonts w:ascii="楷体" w:hAnsi="楷体" w:eastAsia="楷体" w:cs="楷体"/>
          <w:spacing w:val="3"/>
          <w:sz w:val="31"/>
          <w:szCs w:val="31"/>
        </w:rPr>
        <w:t>（一）商业密集区域</w:t>
      </w:r>
    </w:p>
    <w:p w14:paraId="375092DA">
      <w:pPr>
        <w:spacing w:before="192" w:line="344" w:lineRule="auto"/>
        <w:ind w:left="7" w:right="312" w:firstLine="659"/>
        <w:jc w:val="both"/>
        <w:rPr>
          <w:rFonts w:ascii="FangSong_GB2312" w:hAnsi="FangSong_GB2312" w:eastAsia="FangSong_GB2312" w:cs="FangSong_GB2312"/>
          <w:sz w:val="31"/>
          <w:szCs w:val="31"/>
        </w:rPr>
      </w:pPr>
      <w:r>
        <w:rPr>
          <w:rFonts w:ascii="FangSong_GB2312" w:hAnsi="FangSong_GB2312" w:eastAsia="FangSong_GB2312" w:cs="FangSong_GB2312"/>
          <w:spacing w:val="13"/>
          <w:sz w:val="31"/>
          <w:szCs w:val="31"/>
        </w:rPr>
        <w:t>主要考虑此类地区商业密集、人口相对密集、人流量大、卷</w:t>
      </w:r>
      <w:r>
        <w:rPr>
          <w:rFonts w:ascii="FangSong_GB2312" w:hAnsi="FangSong_GB2312" w:eastAsia="FangSong_GB2312" w:cs="FangSong_GB2312"/>
          <w:spacing w:val="2"/>
          <w:sz w:val="31"/>
          <w:szCs w:val="31"/>
        </w:rPr>
        <w:t>烟销量高等特点，将以下路段定为商业密集区域：东起市政路（西</w:t>
      </w:r>
      <w:r>
        <w:rPr>
          <w:rFonts w:ascii="FangSong_GB2312" w:hAnsi="FangSong_GB2312" w:eastAsia="FangSong_GB2312" w:cs="FangSong_GB2312"/>
          <w:spacing w:val="7"/>
          <w:sz w:val="31"/>
          <w:szCs w:val="31"/>
        </w:rPr>
        <w:t>侧）——西至文明路（东侧</w:t>
      </w:r>
      <w:r>
        <w:rPr>
          <w:rFonts w:ascii="FangSong_GB2312" w:hAnsi="FangSong_GB2312" w:eastAsia="FangSong_GB2312" w:cs="FangSong_GB2312"/>
          <w:spacing w:val="-58"/>
          <w:sz w:val="31"/>
          <w:szCs w:val="31"/>
        </w:rPr>
        <w:t>）；</w:t>
      </w:r>
      <w:r>
        <w:rPr>
          <w:rFonts w:ascii="FangSong_GB2312" w:hAnsi="FangSong_GB2312" w:eastAsia="FangSong_GB2312" w:cs="FangSong_GB2312"/>
          <w:spacing w:val="7"/>
          <w:sz w:val="31"/>
          <w:szCs w:val="31"/>
        </w:rPr>
        <w:t>南起一道街（北侧）——北至五道</w:t>
      </w:r>
      <w:r>
        <w:rPr>
          <w:rFonts w:ascii="FangSong_GB2312" w:hAnsi="FangSong_GB2312" w:eastAsia="FangSong_GB2312" w:cs="FangSong_GB2312"/>
          <w:spacing w:val="4"/>
          <w:sz w:val="31"/>
          <w:szCs w:val="31"/>
        </w:rPr>
        <w:t>街（南侧</w:t>
      </w:r>
      <w:r>
        <w:rPr>
          <w:rFonts w:ascii="FangSong_GB2312" w:hAnsi="FangSong_GB2312" w:eastAsia="FangSong_GB2312" w:cs="FangSong_GB2312"/>
          <w:spacing w:val="-72"/>
          <w:sz w:val="31"/>
          <w:szCs w:val="31"/>
        </w:rPr>
        <w:t>），</w:t>
      </w:r>
      <w:r>
        <w:rPr>
          <w:rFonts w:ascii="FangSong_GB2312" w:hAnsi="FangSong_GB2312" w:eastAsia="FangSong_GB2312" w:cs="FangSong_GB2312"/>
          <w:spacing w:val="4"/>
          <w:sz w:val="31"/>
          <w:szCs w:val="31"/>
        </w:rPr>
        <w:t>零售点间距不得少于</w:t>
      </w:r>
      <w:r>
        <w:rPr>
          <w:rFonts w:ascii="FangSong_GB2312" w:hAnsi="FangSong_GB2312" w:eastAsia="FangSong_GB2312" w:cs="FangSong_GB2312"/>
          <w:spacing w:val="-45"/>
          <w:sz w:val="31"/>
          <w:szCs w:val="31"/>
        </w:rPr>
        <w:t xml:space="preserve"> </w:t>
      </w:r>
      <w:r>
        <w:rPr>
          <w:rFonts w:ascii="FangSong_GB2312" w:hAnsi="FangSong_GB2312" w:eastAsia="FangSong_GB2312" w:cs="FangSong_GB2312"/>
          <w:spacing w:val="4"/>
          <w:sz w:val="31"/>
          <w:szCs w:val="31"/>
        </w:rPr>
        <w:t>80</w:t>
      </w:r>
      <w:r>
        <w:rPr>
          <w:rFonts w:ascii="FangSong_GB2312" w:hAnsi="FangSong_GB2312" w:eastAsia="FangSong_GB2312" w:cs="FangSong_GB2312"/>
          <w:spacing w:val="-51"/>
          <w:sz w:val="31"/>
          <w:szCs w:val="31"/>
        </w:rPr>
        <w:t xml:space="preserve"> </w:t>
      </w:r>
      <w:r>
        <w:rPr>
          <w:rFonts w:ascii="FangSong_GB2312" w:hAnsi="FangSong_GB2312" w:eastAsia="FangSong_GB2312" w:cs="FangSong_GB2312"/>
          <w:spacing w:val="4"/>
          <w:sz w:val="31"/>
          <w:szCs w:val="31"/>
        </w:rPr>
        <w:t>米。</w:t>
      </w:r>
    </w:p>
    <w:p w14:paraId="24DBD1E4">
      <w:pPr>
        <w:spacing w:before="1" w:line="235" w:lineRule="auto"/>
        <w:ind w:left="678"/>
        <w:rPr>
          <w:rFonts w:ascii="楷体" w:hAnsi="楷体" w:eastAsia="楷体" w:cs="楷体"/>
          <w:sz w:val="31"/>
          <w:szCs w:val="31"/>
        </w:rPr>
      </w:pPr>
      <w:r>
        <w:rPr>
          <w:rFonts w:ascii="楷体" w:hAnsi="楷体" w:eastAsia="楷体" w:cs="楷体"/>
          <w:spacing w:val="4"/>
          <w:sz w:val="31"/>
          <w:szCs w:val="31"/>
        </w:rPr>
        <w:t>（二）一般区域</w:t>
      </w:r>
    </w:p>
    <w:p w14:paraId="6B1DEDEF">
      <w:pPr>
        <w:spacing w:before="186" w:line="343" w:lineRule="auto"/>
        <w:ind w:left="56" w:right="312" w:firstLine="610"/>
        <w:rPr>
          <w:rFonts w:ascii="FangSong_GB2312" w:hAnsi="FangSong_GB2312" w:eastAsia="FangSong_GB2312" w:cs="FangSong_GB2312"/>
          <w:sz w:val="31"/>
          <w:szCs w:val="31"/>
        </w:rPr>
      </w:pPr>
      <w:r>
        <w:rPr>
          <w:rFonts w:ascii="FangSong_GB2312" w:hAnsi="FangSong_GB2312" w:eastAsia="FangSong_GB2312" w:cs="FangSong_GB2312"/>
          <w:spacing w:val="13"/>
          <w:sz w:val="31"/>
          <w:szCs w:val="31"/>
        </w:rPr>
        <w:t>主要考虑此类地区人口相对疏散，人流量小的街道两侧和居</w:t>
      </w:r>
      <w:r>
        <w:rPr>
          <w:rFonts w:ascii="FangSong_GB2312" w:hAnsi="FangSong_GB2312" w:eastAsia="FangSong_GB2312" w:cs="FangSong_GB2312"/>
          <w:spacing w:val="4"/>
          <w:sz w:val="31"/>
          <w:szCs w:val="31"/>
        </w:rPr>
        <w:t>民小区，卷烟销量不高等特点，零售点间距不得少于</w:t>
      </w:r>
      <w:r>
        <w:rPr>
          <w:rFonts w:ascii="FangSong_GB2312" w:hAnsi="FangSong_GB2312" w:eastAsia="FangSong_GB2312" w:cs="FangSong_GB2312"/>
          <w:spacing w:val="-37"/>
          <w:sz w:val="31"/>
          <w:szCs w:val="31"/>
        </w:rPr>
        <w:t xml:space="preserve"> </w:t>
      </w:r>
      <w:r>
        <w:rPr>
          <w:rFonts w:ascii="FangSong_GB2312" w:hAnsi="FangSong_GB2312" w:eastAsia="FangSong_GB2312" w:cs="FangSong_GB2312"/>
          <w:spacing w:val="4"/>
          <w:sz w:val="31"/>
          <w:szCs w:val="31"/>
        </w:rPr>
        <w:t>100</w:t>
      </w:r>
      <w:r>
        <w:rPr>
          <w:rFonts w:ascii="FangSong_GB2312" w:hAnsi="FangSong_GB2312" w:eastAsia="FangSong_GB2312" w:cs="FangSong_GB2312"/>
          <w:spacing w:val="-51"/>
          <w:sz w:val="31"/>
          <w:szCs w:val="31"/>
        </w:rPr>
        <w:t xml:space="preserve"> </w:t>
      </w:r>
      <w:r>
        <w:rPr>
          <w:rFonts w:ascii="FangSong_GB2312" w:hAnsi="FangSong_GB2312" w:eastAsia="FangSong_GB2312" w:cs="FangSong_GB2312"/>
          <w:spacing w:val="4"/>
          <w:sz w:val="31"/>
          <w:szCs w:val="31"/>
        </w:rPr>
        <w:t>米。</w:t>
      </w:r>
    </w:p>
    <w:p w14:paraId="16AE0800">
      <w:pPr>
        <w:spacing w:before="1" w:line="228" w:lineRule="auto"/>
        <w:ind w:left="678"/>
        <w:rPr>
          <w:rFonts w:ascii="楷体" w:hAnsi="楷体" w:eastAsia="楷体" w:cs="楷体"/>
          <w:sz w:val="31"/>
          <w:szCs w:val="31"/>
        </w:rPr>
      </w:pPr>
      <w:r>
        <w:rPr>
          <w:rFonts w:ascii="楷体" w:hAnsi="楷体" w:eastAsia="楷体" w:cs="楷体"/>
          <w:spacing w:val="2"/>
          <w:sz w:val="31"/>
          <w:szCs w:val="31"/>
        </w:rPr>
        <w:t>（三）特殊区域</w:t>
      </w:r>
    </w:p>
    <w:p w14:paraId="521FA03E">
      <w:pPr>
        <w:spacing w:before="191" w:line="221" w:lineRule="auto"/>
        <w:ind w:left="657"/>
        <w:rPr>
          <w:rFonts w:ascii="FangSong_GB2312" w:hAnsi="FangSong_GB2312" w:eastAsia="FangSong_GB2312" w:cs="FangSong_GB2312"/>
          <w:sz w:val="31"/>
          <w:szCs w:val="31"/>
        </w:rPr>
      </w:pPr>
      <w:r>
        <w:rPr>
          <w:rFonts w:ascii="FangSong_GB2312" w:hAnsi="FangSong_GB2312" w:eastAsia="FangSong_GB2312" w:cs="FangSong_GB2312"/>
          <w:spacing w:val="6"/>
          <w:sz w:val="31"/>
          <w:szCs w:val="31"/>
        </w:rPr>
        <w:t>特殊区域内烟草制品零售点设置适用以下特定规则。</w:t>
      </w:r>
    </w:p>
    <w:p w14:paraId="346F2F87">
      <w:pPr>
        <w:spacing w:line="221" w:lineRule="auto"/>
        <w:rPr>
          <w:rFonts w:ascii="FangSong_GB2312" w:hAnsi="FangSong_GB2312" w:eastAsia="FangSong_GB2312" w:cs="FangSong_GB2312"/>
          <w:sz w:val="31"/>
          <w:szCs w:val="31"/>
        </w:rPr>
        <w:sectPr>
          <w:footerReference r:id="rId8" w:type="default"/>
          <w:pgSz w:w="11906" w:h="16838"/>
          <w:pgMar w:top="1431" w:right="1102" w:bottom="1195" w:left="1415" w:header="0" w:footer="829" w:gutter="0"/>
          <w:cols w:space="720" w:num="1"/>
        </w:sectPr>
      </w:pPr>
    </w:p>
    <w:p w14:paraId="731CBD70">
      <w:pPr>
        <w:pStyle w:val="2"/>
        <w:spacing w:line="249" w:lineRule="auto"/>
      </w:pPr>
    </w:p>
    <w:p w14:paraId="3CA5FEC1">
      <w:pPr>
        <w:pStyle w:val="2"/>
        <w:spacing w:line="249" w:lineRule="auto"/>
      </w:pPr>
    </w:p>
    <w:p w14:paraId="46589DDB">
      <w:pPr>
        <w:pStyle w:val="2"/>
        <w:spacing w:line="250" w:lineRule="auto"/>
      </w:pPr>
    </w:p>
    <w:p w14:paraId="6C7DCD91">
      <w:pPr>
        <w:spacing w:before="100" w:line="282" w:lineRule="auto"/>
        <w:ind w:firstLine="666"/>
        <w:rPr>
          <w:rFonts w:ascii="FangSong_GB2312" w:hAnsi="FangSong_GB2312" w:eastAsia="FangSong_GB2312" w:cs="FangSong_GB2312"/>
          <w:sz w:val="31"/>
          <w:szCs w:val="31"/>
        </w:rPr>
      </w:pPr>
      <w:r>
        <w:rPr>
          <w:rFonts w:ascii="FangSong_GB2312" w:hAnsi="FangSong_GB2312" w:eastAsia="FangSong_GB2312" w:cs="FangSong_GB2312"/>
          <w:spacing w:val="12"/>
          <w:sz w:val="31"/>
          <w:szCs w:val="31"/>
        </w:rPr>
        <w:t>1.具有明显季节性经营特点的旅游景区类场所，设零售点不</w:t>
      </w:r>
      <w:r>
        <w:rPr>
          <w:rFonts w:ascii="FangSong_GB2312" w:hAnsi="FangSong_GB2312" w:eastAsia="FangSong_GB2312" w:cs="FangSong_GB2312"/>
          <w:spacing w:val="1"/>
          <w:sz w:val="31"/>
          <w:szCs w:val="31"/>
        </w:rPr>
        <w:t>超过</w:t>
      </w:r>
      <w:r>
        <w:rPr>
          <w:rFonts w:ascii="FangSong_GB2312" w:hAnsi="FangSong_GB2312" w:eastAsia="FangSong_GB2312" w:cs="FangSong_GB2312"/>
          <w:spacing w:val="-39"/>
          <w:sz w:val="31"/>
          <w:szCs w:val="31"/>
        </w:rPr>
        <w:t xml:space="preserve"> </w:t>
      </w:r>
      <w:r>
        <w:rPr>
          <w:rFonts w:ascii="FangSong_GB2312" w:hAnsi="FangSong_GB2312" w:eastAsia="FangSong_GB2312" w:cs="FangSong_GB2312"/>
          <w:spacing w:val="1"/>
          <w:sz w:val="31"/>
          <w:szCs w:val="31"/>
        </w:rPr>
        <w:t>6</w:t>
      </w:r>
      <w:r>
        <w:rPr>
          <w:rFonts w:ascii="FangSong_GB2312" w:hAnsi="FangSong_GB2312" w:eastAsia="FangSong_GB2312" w:cs="FangSong_GB2312"/>
          <w:spacing w:val="-60"/>
          <w:sz w:val="31"/>
          <w:szCs w:val="31"/>
        </w:rPr>
        <w:t xml:space="preserve"> </w:t>
      </w:r>
      <w:r>
        <w:rPr>
          <w:rFonts w:ascii="FangSong_GB2312" w:hAnsi="FangSong_GB2312" w:eastAsia="FangSong_GB2312" w:cs="FangSong_GB2312"/>
          <w:spacing w:val="1"/>
          <w:sz w:val="31"/>
          <w:szCs w:val="31"/>
        </w:rPr>
        <w:t>个，零售点间距不得少于</w:t>
      </w:r>
      <w:r>
        <w:rPr>
          <w:rFonts w:ascii="FangSong_GB2312" w:hAnsi="FangSong_GB2312" w:eastAsia="FangSong_GB2312" w:cs="FangSong_GB2312"/>
          <w:spacing w:val="-40"/>
          <w:sz w:val="31"/>
          <w:szCs w:val="31"/>
        </w:rPr>
        <w:t xml:space="preserve"> </w:t>
      </w:r>
      <w:r>
        <w:rPr>
          <w:rFonts w:ascii="FangSong_GB2312" w:hAnsi="FangSong_GB2312" w:eastAsia="FangSong_GB2312" w:cs="FangSong_GB2312"/>
          <w:spacing w:val="1"/>
          <w:sz w:val="31"/>
          <w:szCs w:val="31"/>
        </w:rPr>
        <w:t>100</w:t>
      </w:r>
      <w:r>
        <w:rPr>
          <w:rFonts w:ascii="FangSong_GB2312" w:hAnsi="FangSong_GB2312" w:eastAsia="FangSong_GB2312" w:cs="FangSong_GB2312"/>
          <w:spacing w:val="-51"/>
          <w:sz w:val="31"/>
          <w:szCs w:val="31"/>
        </w:rPr>
        <w:t xml:space="preserve"> </w:t>
      </w:r>
      <w:r>
        <w:rPr>
          <w:rFonts w:ascii="FangSong_GB2312" w:hAnsi="FangSong_GB2312" w:eastAsia="FangSong_GB2312" w:cs="FangSong_GB2312"/>
          <w:spacing w:val="1"/>
          <w:sz w:val="31"/>
          <w:szCs w:val="31"/>
        </w:rPr>
        <w:t>米。</w:t>
      </w:r>
    </w:p>
    <w:p w14:paraId="4123362B">
      <w:pPr>
        <w:spacing w:before="208" w:line="314" w:lineRule="auto"/>
        <w:ind w:left="6" w:firstLine="653"/>
        <w:rPr>
          <w:rFonts w:ascii="FangSong_GB2312" w:hAnsi="FangSong_GB2312" w:eastAsia="FangSong_GB2312" w:cs="FangSong_GB2312"/>
          <w:sz w:val="31"/>
          <w:szCs w:val="31"/>
        </w:rPr>
      </w:pPr>
      <w:r>
        <w:rPr>
          <w:rFonts w:ascii="FangSong_GB2312" w:hAnsi="FangSong_GB2312" w:eastAsia="FangSong_GB2312" w:cs="FangSong_GB2312"/>
          <w:spacing w:val="13"/>
          <w:sz w:val="31"/>
          <w:szCs w:val="31"/>
        </w:rPr>
        <w:t>2.各类综合性商贸市场、农贸市场等场所，按照固定</w:t>
      </w:r>
      <w:r>
        <w:rPr>
          <w:rFonts w:ascii="FangSong_GB2312" w:hAnsi="FangSong_GB2312" w:eastAsia="FangSong_GB2312" w:cs="FangSong_GB2312"/>
          <w:spacing w:val="12"/>
          <w:sz w:val="31"/>
          <w:szCs w:val="31"/>
        </w:rPr>
        <w:t>营业户</w:t>
      </w:r>
      <w:r>
        <w:rPr>
          <w:rFonts w:ascii="FangSong_GB2312" w:hAnsi="FangSong_GB2312" w:eastAsia="FangSong_GB2312" w:cs="FangSong_GB2312"/>
          <w:spacing w:val="3"/>
          <w:sz w:val="31"/>
          <w:szCs w:val="31"/>
        </w:rPr>
        <w:t>数</w:t>
      </w:r>
      <w:r>
        <w:rPr>
          <w:rFonts w:ascii="FangSong_GB2312" w:hAnsi="FangSong_GB2312" w:eastAsia="FangSong_GB2312" w:cs="FangSong_GB2312"/>
          <w:spacing w:val="-32"/>
          <w:sz w:val="31"/>
          <w:szCs w:val="31"/>
        </w:rPr>
        <w:t xml:space="preserve"> </w:t>
      </w:r>
      <w:r>
        <w:rPr>
          <w:rFonts w:ascii="FangSong_GB2312" w:hAnsi="FangSong_GB2312" w:eastAsia="FangSong_GB2312" w:cs="FangSong_GB2312"/>
          <w:spacing w:val="3"/>
          <w:sz w:val="31"/>
          <w:szCs w:val="31"/>
        </w:rPr>
        <w:t>50</w:t>
      </w:r>
      <w:r>
        <w:rPr>
          <w:rFonts w:ascii="FangSong_GB2312" w:hAnsi="FangSong_GB2312" w:eastAsia="FangSong_GB2312" w:cs="FangSong_GB2312"/>
          <w:spacing w:val="-43"/>
          <w:sz w:val="31"/>
          <w:szCs w:val="31"/>
        </w:rPr>
        <w:t xml:space="preserve"> </w:t>
      </w:r>
      <w:r>
        <w:rPr>
          <w:rFonts w:ascii="FangSong_GB2312" w:hAnsi="FangSong_GB2312" w:eastAsia="FangSong_GB2312" w:cs="FangSong_GB2312"/>
          <w:spacing w:val="3"/>
          <w:sz w:val="31"/>
          <w:szCs w:val="31"/>
        </w:rPr>
        <w:t>户以内可以设置</w:t>
      </w:r>
      <w:r>
        <w:rPr>
          <w:rFonts w:ascii="FangSong_GB2312" w:hAnsi="FangSong_GB2312" w:eastAsia="FangSong_GB2312" w:cs="FangSong_GB2312"/>
          <w:spacing w:val="-39"/>
          <w:sz w:val="31"/>
          <w:szCs w:val="31"/>
        </w:rPr>
        <w:t xml:space="preserve"> </w:t>
      </w:r>
      <w:r>
        <w:rPr>
          <w:rFonts w:ascii="FangSong_GB2312" w:hAnsi="FangSong_GB2312" w:eastAsia="FangSong_GB2312" w:cs="FangSong_GB2312"/>
          <w:spacing w:val="3"/>
          <w:sz w:val="31"/>
          <w:szCs w:val="31"/>
        </w:rPr>
        <w:t>1</w:t>
      </w:r>
      <w:r>
        <w:rPr>
          <w:rFonts w:ascii="FangSong_GB2312" w:hAnsi="FangSong_GB2312" w:eastAsia="FangSong_GB2312" w:cs="FangSong_GB2312"/>
          <w:spacing w:val="-54"/>
          <w:sz w:val="31"/>
          <w:szCs w:val="31"/>
        </w:rPr>
        <w:t xml:space="preserve"> </w:t>
      </w:r>
      <w:r>
        <w:rPr>
          <w:rFonts w:ascii="FangSong_GB2312" w:hAnsi="FangSong_GB2312" w:eastAsia="FangSong_GB2312" w:cs="FangSong_GB2312"/>
          <w:spacing w:val="3"/>
          <w:sz w:val="31"/>
          <w:szCs w:val="31"/>
        </w:rPr>
        <w:t>个零售点，</w:t>
      </w:r>
      <w:r>
        <w:rPr>
          <w:rFonts w:ascii="FangSong_GB2312" w:hAnsi="FangSong_GB2312" w:eastAsia="FangSong_GB2312" w:cs="FangSong_GB2312"/>
          <w:spacing w:val="-77"/>
          <w:sz w:val="31"/>
          <w:szCs w:val="31"/>
        </w:rPr>
        <w:t xml:space="preserve"> </w:t>
      </w:r>
      <w:r>
        <w:rPr>
          <w:rFonts w:ascii="FangSong_GB2312" w:hAnsi="FangSong_GB2312" w:eastAsia="FangSong_GB2312" w:cs="FangSong_GB2312"/>
          <w:spacing w:val="3"/>
          <w:sz w:val="31"/>
          <w:szCs w:val="31"/>
        </w:rPr>
        <w:t>以此为基数，每超</w:t>
      </w:r>
      <w:r>
        <w:rPr>
          <w:rFonts w:ascii="FangSong_GB2312" w:hAnsi="FangSong_GB2312" w:eastAsia="FangSong_GB2312" w:cs="FangSong_GB2312"/>
          <w:spacing w:val="-44"/>
          <w:sz w:val="31"/>
          <w:szCs w:val="31"/>
        </w:rPr>
        <w:t xml:space="preserve"> </w:t>
      </w:r>
      <w:r>
        <w:rPr>
          <w:rFonts w:ascii="FangSong_GB2312" w:hAnsi="FangSong_GB2312" w:eastAsia="FangSong_GB2312" w:cs="FangSong_GB2312"/>
          <w:spacing w:val="3"/>
          <w:sz w:val="31"/>
          <w:szCs w:val="31"/>
        </w:rPr>
        <w:t>50</w:t>
      </w:r>
      <w:r>
        <w:rPr>
          <w:rFonts w:ascii="FangSong_GB2312" w:hAnsi="FangSong_GB2312" w:eastAsia="FangSong_GB2312" w:cs="FangSong_GB2312"/>
          <w:spacing w:val="-40"/>
          <w:sz w:val="31"/>
          <w:szCs w:val="31"/>
        </w:rPr>
        <w:t xml:space="preserve"> </w:t>
      </w:r>
      <w:r>
        <w:rPr>
          <w:rFonts w:ascii="FangSong_GB2312" w:hAnsi="FangSong_GB2312" w:eastAsia="FangSong_GB2312" w:cs="FangSong_GB2312"/>
          <w:spacing w:val="3"/>
          <w:sz w:val="31"/>
          <w:szCs w:val="31"/>
        </w:rPr>
        <w:t>户可增</w:t>
      </w:r>
      <w:r>
        <w:rPr>
          <w:rFonts w:ascii="FangSong_GB2312" w:hAnsi="FangSong_GB2312" w:eastAsia="FangSong_GB2312" w:cs="FangSong_GB2312"/>
          <w:sz w:val="31"/>
          <w:szCs w:val="31"/>
        </w:rPr>
        <w:t>设</w:t>
      </w:r>
      <w:r>
        <w:rPr>
          <w:rFonts w:ascii="FangSong_GB2312" w:hAnsi="FangSong_GB2312" w:eastAsia="FangSong_GB2312" w:cs="FangSong_GB2312"/>
          <w:spacing w:val="-41"/>
          <w:sz w:val="31"/>
          <w:szCs w:val="31"/>
        </w:rPr>
        <w:t xml:space="preserve"> </w:t>
      </w:r>
      <w:r>
        <w:rPr>
          <w:rFonts w:ascii="FangSong_GB2312" w:hAnsi="FangSong_GB2312" w:eastAsia="FangSong_GB2312" w:cs="FangSong_GB2312"/>
          <w:sz w:val="31"/>
          <w:szCs w:val="31"/>
        </w:rPr>
        <w:t>1</w:t>
      </w:r>
      <w:r>
        <w:rPr>
          <w:rFonts w:ascii="FangSong_GB2312" w:hAnsi="FangSong_GB2312" w:eastAsia="FangSong_GB2312" w:cs="FangSong_GB2312"/>
          <w:spacing w:val="-59"/>
          <w:sz w:val="31"/>
          <w:szCs w:val="31"/>
        </w:rPr>
        <w:t xml:space="preserve"> </w:t>
      </w:r>
      <w:r>
        <w:rPr>
          <w:rFonts w:ascii="FangSong_GB2312" w:hAnsi="FangSong_GB2312" w:eastAsia="FangSong_GB2312" w:cs="FangSong_GB2312"/>
          <w:sz w:val="31"/>
          <w:szCs w:val="31"/>
        </w:rPr>
        <w:t>个，零售点设置总数不得超过</w:t>
      </w:r>
      <w:r>
        <w:rPr>
          <w:rFonts w:ascii="FangSong_GB2312" w:hAnsi="FangSong_GB2312" w:eastAsia="FangSong_GB2312" w:cs="FangSong_GB2312"/>
          <w:spacing w:val="-36"/>
          <w:sz w:val="31"/>
          <w:szCs w:val="31"/>
        </w:rPr>
        <w:t xml:space="preserve"> </w:t>
      </w:r>
      <w:r>
        <w:rPr>
          <w:rFonts w:ascii="FangSong_GB2312" w:hAnsi="FangSong_GB2312" w:eastAsia="FangSong_GB2312" w:cs="FangSong_GB2312"/>
          <w:sz w:val="31"/>
          <w:szCs w:val="31"/>
        </w:rPr>
        <w:t>3</w:t>
      </w:r>
      <w:r>
        <w:rPr>
          <w:rFonts w:ascii="FangSong_GB2312" w:hAnsi="FangSong_GB2312" w:eastAsia="FangSong_GB2312" w:cs="FangSong_GB2312"/>
          <w:spacing w:val="-59"/>
          <w:sz w:val="31"/>
          <w:szCs w:val="31"/>
        </w:rPr>
        <w:t xml:space="preserve"> </w:t>
      </w:r>
      <w:r>
        <w:rPr>
          <w:rFonts w:ascii="FangSong_GB2312" w:hAnsi="FangSong_GB2312" w:eastAsia="FangSong_GB2312" w:cs="FangSong_GB2312"/>
          <w:sz w:val="31"/>
          <w:szCs w:val="31"/>
        </w:rPr>
        <w:t>个，零售点间距不得少于</w:t>
      </w:r>
      <w:r>
        <w:rPr>
          <w:rFonts w:ascii="FangSong_GB2312" w:hAnsi="FangSong_GB2312" w:eastAsia="FangSong_GB2312" w:cs="FangSong_GB2312"/>
          <w:spacing w:val="-43"/>
          <w:sz w:val="31"/>
          <w:szCs w:val="31"/>
        </w:rPr>
        <w:t xml:space="preserve"> </w:t>
      </w:r>
      <w:r>
        <w:rPr>
          <w:rFonts w:ascii="FangSong_GB2312" w:hAnsi="FangSong_GB2312" w:eastAsia="FangSong_GB2312" w:cs="FangSong_GB2312"/>
          <w:spacing w:val="-1"/>
          <w:sz w:val="31"/>
          <w:szCs w:val="31"/>
        </w:rPr>
        <w:t>100</w:t>
      </w:r>
      <w:r>
        <w:rPr>
          <w:rFonts w:ascii="FangSong_GB2312" w:hAnsi="FangSong_GB2312" w:eastAsia="FangSong_GB2312" w:cs="FangSong_GB2312"/>
          <w:spacing w:val="-16"/>
          <w:sz w:val="31"/>
          <w:szCs w:val="31"/>
        </w:rPr>
        <w:t>米。</w:t>
      </w:r>
    </w:p>
    <w:p w14:paraId="10076AAF">
      <w:pPr>
        <w:spacing w:before="202" w:line="303" w:lineRule="auto"/>
        <w:ind w:left="15" w:firstLine="655"/>
        <w:rPr>
          <w:rFonts w:ascii="FangSong_GB2312" w:hAnsi="FangSong_GB2312" w:eastAsia="FangSong_GB2312" w:cs="FangSong_GB2312"/>
          <w:sz w:val="31"/>
          <w:szCs w:val="31"/>
        </w:rPr>
      </w:pPr>
      <w:r>
        <w:rPr>
          <w:rFonts w:ascii="FangSong_GB2312" w:hAnsi="FangSong_GB2312" w:eastAsia="FangSong_GB2312" w:cs="FangSong_GB2312"/>
          <w:spacing w:val="12"/>
          <w:sz w:val="31"/>
          <w:szCs w:val="31"/>
        </w:rPr>
        <w:t>3.大中型宾馆、酒店、旅店等其他相对封闭的服务场所，营</w:t>
      </w:r>
      <w:r>
        <w:rPr>
          <w:rFonts w:ascii="FangSong_GB2312" w:hAnsi="FangSong_GB2312" w:eastAsia="FangSong_GB2312" w:cs="FangSong_GB2312"/>
          <w:spacing w:val="5"/>
          <w:sz w:val="31"/>
          <w:szCs w:val="31"/>
        </w:rPr>
        <w:t>业面积在</w:t>
      </w:r>
      <w:r>
        <w:rPr>
          <w:rFonts w:ascii="FangSong_GB2312" w:hAnsi="FangSong_GB2312" w:eastAsia="FangSong_GB2312" w:cs="FangSong_GB2312"/>
          <w:spacing w:val="-38"/>
          <w:sz w:val="31"/>
          <w:szCs w:val="31"/>
        </w:rPr>
        <w:t xml:space="preserve"> </w:t>
      </w:r>
      <w:r>
        <w:rPr>
          <w:rFonts w:ascii="FangSong_GB2312" w:hAnsi="FangSong_GB2312" w:eastAsia="FangSong_GB2312" w:cs="FangSong_GB2312"/>
          <w:spacing w:val="5"/>
          <w:sz w:val="31"/>
          <w:szCs w:val="31"/>
        </w:rPr>
        <w:t>5000</w:t>
      </w:r>
      <w:r>
        <w:rPr>
          <w:rFonts w:ascii="FangSong_GB2312" w:hAnsi="FangSong_GB2312" w:eastAsia="FangSong_GB2312" w:cs="FangSong_GB2312"/>
          <w:spacing w:val="-55"/>
          <w:sz w:val="31"/>
          <w:szCs w:val="31"/>
        </w:rPr>
        <w:t xml:space="preserve"> </w:t>
      </w:r>
      <w:r>
        <w:rPr>
          <w:rFonts w:ascii="FangSong_GB2312" w:hAnsi="FangSong_GB2312" w:eastAsia="FangSong_GB2312" w:cs="FangSong_GB2312"/>
          <w:spacing w:val="5"/>
          <w:sz w:val="31"/>
          <w:szCs w:val="31"/>
        </w:rPr>
        <w:t>平方米以上，为满足停留在设施内特定顾客消费需</w:t>
      </w:r>
      <w:r>
        <w:rPr>
          <w:rFonts w:ascii="FangSong_GB2312" w:hAnsi="FangSong_GB2312" w:eastAsia="FangSong_GB2312" w:cs="FangSong_GB2312"/>
          <w:spacing w:val="-4"/>
          <w:sz w:val="31"/>
          <w:szCs w:val="31"/>
        </w:rPr>
        <w:t>要，设置</w:t>
      </w:r>
      <w:r>
        <w:rPr>
          <w:rFonts w:ascii="FangSong_GB2312" w:hAnsi="FangSong_GB2312" w:eastAsia="FangSong_GB2312" w:cs="FangSong_GB2312"/>
          <w:spacing w:val="-37"/>
          <w:sz w:val="31"/>
          <w:szCs w:val="31"/>
        </w:rPr>
        <w:t xml:space="preserve"> </w:t>
      </w:r>
      <w:r>
        <w:rPr>
          <w:rFonts w:ascii="FangSong_GB2312" w:hAnsi="FangSong_GB2312" w:eastAsia="FangSong_GB2312" w:cs="FangSong_GB2312"/>
          <w:spacing w:val="-4"/>
          <w:sz w:val="31"/>
          <w:szCs w:val="31"/>
        </w:rPr>
        <w:t>1</w:t>
      </w:r>
      <w:r>
        <w:rPr>
          <w:rFonts w:ascii="FangSong_GB2312" w:hAnsi="FangSong_GB2312" w:eastAsia="FangSong_GB2312" w:cs="FangSong_GB2312"/>
          <w:spacing w:val="-59"/>
          <w:sz w:val="31"/>
          <w:szCs w:val="31"/>
        </w:rPr>
        <w:t xml:space="preserve"> </w:t>
      </w:r>
      <w:r>
        <w:rPr>
          <w:rFonts w:ascii="FangSong_GB2312" w:hAnsi="FangSong_GB2312" w:eastAsia="FangSong_GB2312" w:cs="FangSong_GB2312"/>
          <w:spacing w:val="-4"/>
          <w:sz w:val="31"/>
          <w:szCs w:val="31"/>
        </w:rPr>
        <w:t>个零售点。</w:t>
      </w:r>
    </w:p>
    <w:p w14:paraId="71BD2418">
      <w:pPr>
        <w:spacing w:before="209" w:line="282" w:lineRule="auto"/>
        <w:ind w:left="14" w:right="3" w:firstLine="643"/>
        <w:rPr>
          <w:rFonts w:ascii="FangSong_GB2312" w:hAnsi="FangSong_GB2312" w:eastAsia="FangSong_GB2312" w:cs="FangSong_GB2312"/>
          <w:sz w:val="31"/>
          <w:szCs w:val="31"/>
        </w:rPr>
      </w:pPr>
      <w:r>
        <w:rPr>
          <w:rFonts w:ascii="FangSong_GB2312" w:hAnsi="FangSong_GB2312" w:eastAsia="FangSong_GB2312" w:cs="FangSong_GB2312"/>
          <w:spacing w:val="4"/>
          <w:sz w:val="31"/>
          <w:szCs w:val="31"/>
        </w:rPr>
        <w:t>4.经营面积在</w:t>
      </w:r>
      <w:r>
        <w:rPr>
          <w:rFonts w:ascii="FangSong_GB2312" w:hAnsi="FangSong_GB2312" w:eastAsia="FangSong_GB2312" w:cs="FangSong_GB2312"/>
          <w:spacing w:val="-23"/>
          <w:sz w:val="31"/>
          <w:szCs w:val="31"/>
        </w:rPr>
        <w:t xml:space="preserve"> </w:t>
      </w:r>
      <w:r>
        <w:rPr>
          <w:rFonts w:ascii="FangSong_GB2312" w:hAnsi="FangSong_GB2312" w:eastAsia="FangSong_GB2312" w:cs="FangSong_GB2312"/>
          <w:spacing w:val="4"/>
          <w:sz w:val="31"/>
          <w:szCs w:val="31"/>
        </w:rPr>
        <w:t>3000</w:t>
      </w:r>
      <w:r>
        <w:rPr>
          <w:rFonts w:ascii="FangSong_GB2312" w:hAnsi="FangSong_GB2312" w:eastAsia="FangSong_GB2312" w:cs="FangSong_GB2312"/>
          <w:spacing w:val="-57"/>
          <w:sz w:val="31"/>
          <w:szCs w:val="31"/>
        </w:rPr>
        <w:t xml:space="preserve"> </w:t>
      </w:r>
      <w:r>
        <w:rPr>
          <w:rFonts w:ascii="FangSong_GB2312" w:hAnsi="FangSong_GB2312" w:eastAsia="FangSong_GB2312" w:cs="FangSong_GB2312"/>
          <w:spacing w:val="4"/>
          <w:sz w:val="31"/>
          <w:szCs w:val="31"/>
        </w:rPr>
        <w:t>平方米以上的大中型商场、超市、购物中</w:t>
      </w:r>
      <w:r>
        <w:rPr>
          <w:rFonts w:ascii="FangSong_GB2312" w:hAnsi="FangSong_GB2312" w:eastAsia="FangSong_GB2312" w:cs="FangSong_GB2312"/>
          <w:spacing w:val="-4"/>
          <w:sz w:val="31"/>
          <w:szCs w:val="31"/>
        </w:rPr>
        <w:t>心内设置</w:t>
      </w:r>
      <w:r>
        <w:rPr>
          <w:rFonts w:ascii="FangSong_GB2312" w:hAnsi="FangSong_GB2312" w:eastAsia="FangSong_GB2312" w:cs="FangSong_GB2312"/>
          <w:spacing w:val="-36"/>
          <w:sz w:val="31"/>
          <w:szCs w:val="31"/>
        </w:rPr>
        <w:t xml:space="preserve"> </w:t>
      </w:r>
      <w:r>
        <w:rPr>
          <w:rFonts w:ascii="FangSong_GB2312" w:hAnsi="FangSong_GB2312" w:eastAsia="FangSong_GB2312" w:cs="FangSong_GB2312"/>
          <w:spacing w:val="-4"/>
          <w:sz w:val="31"/>
          <w:szCs w:val="31"/>
        </w:rPr>
        <w:t>1</w:t>
      </w:r>
      <w:r>
        <w:rPr>
          <w:rFonts w:ascii="FangSong_GB2312" w:hAnsi="FangSong_GB2312" w:eastAsia="FangSong_GB2312" w:cs="FangSong_GB2312"/>
          <w:spacing w:val="-59"/>
          <w:sz w:val="31"/>
          <w:szCs w:val="31"/>
        </w:rPr>
        <w:t xml:space="preserve"> </w:t>
      </w:r>
      <w:r>
        <w:rPr>
          <w:rFonts w:ascii="FangSong_GB2312" w:hAnsi="FangSong_GB2312" w:eastAsia="FangSong_GB2312" w:cs="FangSong_GB2312"/>
          <w:spacing w:val="-4"/>
          <w:sz w:val="31"/>
          <w:szCs w:val="31"/>
        </w:rPr>
        <w:t>个零售点。</w:t>
      </w:r>
    </w:p>
    <w:p w14:paraId="13BD5F75">
      <w:pPr>
        <w:spacing w:before="210" w:line="282" w:lineRule="auto"/>
        <w:ind w:left="8" w:right="1" w:firstLine="654"/>
        <w:rPr>
          <w:rFonts w:ascii="FangSong_GB2312" w:hAnsi="FangSong_GB2312" w:eastAsia="FangSong_GB2312" w:cs="FangSong_GB2312"/>
          <w:sz w:val="31"/>
          <w:szCs w:val="31"/>
        </w:rPr>
      </w:pPr>
      <w:r>
        <w:rPr>
          <w:rFonts w:ascii="FangSong_GB2312" w:hAnsi="FangSong_GB2312" w:eastAsia="FangSong_GB2312" w:cs="FangSong_GB2312"/>
          <w:spacing w:val="2"/>
          <w:sz w:val="31"/>
          <w:szCs w:val="31"/>
        </w:rPr>
        <w:t>5.飞机场航站楼、火车站、汽车站、客运中心候车室内设置</w:t>
      </w:r>
      <w:r>
        <w:rPr>
          <w:rFonts w:ascii="FangSong_GB2312" w:hAnsi="FangSong_GB2312" w:eastAsia="FangSong_GB2312" w:cs="FangSong_GB2312"/>
          <w:spacing w:val="-24"/>
          <w:sz w:val="31"/>
          <w:szCs w:val="31"/>
        </w:rPr>
        <w:t xml:space="preserve"> </w:t>
      </w:r>
      <w:r>
        <w:rPr>
          <w:rFonts w:ascii="FangSong_GB2312" w:hAnsi="FangSong_GB2312" w:eastAsia="FangSong_GB2312" w:cs="FangSong_GB2312"/>
          <w:spacing w:val="2"/>
          <w:sz w:val="31"/>
          <w:szCs w:val="31"/>
        </w:rPr>
        <w:t>1</w:t>
      </w:r>
      <w:r>
        <w:rPr>
          <w:rFonts w:ascii="FangSong_GB2312" w:hAnsi="FangSong_GB2312" w:eastAsia="FangSong_GB2312" w:cs="FangSong_GB2312"/>
          <w:spacing w:val="-5"/>
          <w:sz w:val="31"/>
          <w:szCs w:val="31"/>
        </w:rPr>
        <w:t>个零售点。</w:t>
      </w:r>
    </w:p>
    <w:p w14:paraId="36C4F491">
      <w:pPr>
        <w:spacing w:before="210" w:line="313" w:lineRule="auto"/>
        <w:ind w:left="7" w:firstLine="639"/>
        <w:rPr>
          <w:rFonts w:ascii="FangSong_GB2312" w:hAnsi="FangSong_GB2312" w:eastAsia="FangSong_GB2312" w:cs="FangSong_GB2312"/>
          <w:sz w:val="31"/>
          <w:szCs w:val="31"/>
        </w:rPr>
      </w:pPr>
      <w:r>
        <w:rPr>
          <w:rFonts w:ascii="黑体" w:hAnsi="黑体" w:eastAsia="黑体" w:cs="黑体"/>
          <w:spacing w:val="19"/>
          <w:sz w:val="31"/>
          <w:szCs w:val="31"/>
        </w:rPr>
        <w:t xml:space="preserve">第八条 </w:t>
      </w:r>
      <w:r>
        <w:rPr>
          <w:rFonts w:ascii="FangSong_GB2312" w:hAnsi="FangSong_GB2312" w:eastAsia="FangSong_GB2312" w:cs="FangSong_GB2312"/>
          <w:spacing w:val="19"/>
          <w:sz w:val="31"/>
          <w:szCs w:val="31"/>
        </w:rPr>
        <w:t>经营范围仅为雪茄烟专业店，零售点间距不得少于</w:t>
      </w:r>
      <w:r>
        <w:rPr>
          <w:rFonts w:ascii="FangSong_GB2312" w:hAnsi="FangSong_GB2312" w:eastAsia="FangSong_GB2312" w:cs="FangSong_GB2312"/>
          <w:spacing w:val="10"/>
          <w:sz w:val="31"/>
          <w:szCs w:val="31"/>
        </w:rPr>
        <w:t>200</w:t>
      </w:r>
      <w:r>
        <w:rPr>
          <w:rFonts w:ascii="FangSong_GB2312" w:hAnsi="FangSong_GB2312" w:eastAsia="FangSong_GB2312" w:cs="FangSong_GB2312"/>
          <w:spacing w:val="-40"/>
          <w:sz w:val="31"/>
          <w:szCs w:val="31"/>
        </w:rPr>
        <w:t xml:space="preserve"> </w:t>
      </w:r>
      <w:r>
        <w:rPr>
          <w:rFonts w:ascii="FangSong_GB2312" w:hAnsi="FangSong_GB2312" w:eastAsia="FangSong_GB2312" w:cs="FangSong_GB2312"/>
          <w:spacing w:val="10"/>
          <w:sz w:val="31"/>
          <w:szCs w:val="31"/>
        </w:rPr>
        <w:t>米，最多可设置零售点数量不超全市零售点容量的</w:t>
      </w:r>
      <w:r>
        <w:rPr>
          <w:rFonts w:ascii="FangSong_GB2312" w:hAnsi="FangSong_GB2312" w:eastAsia="FangSong_GB2312" w:cs="FangSong_GB2312"/>
          <w:spacing w:val="-38"/>
          <w:sz w:val="31"/>
          <w:szCs w:val="31"/>
        </w:rPr>
        <w:t xml:space="preserve"> </w:t>
      </w:r>
      <w:r>
        <w:rPr>
          <w:rFonts w:ascii="FangSong_GB2312" w:hAnsi="FangSong_GB2312" w:eastAsia="FangSong_GB2312" w:cs="FangSong_GB2312"/>
          <w:spacing w:val="10"/>
          <w:sz w:val="31"/>
          <w:szCs w:val="31"/>
        </w:rPr>
        <w:t>1%，雪茄</w:t>
      </w:r>
      <w:r>
        <w:rPr>
          <w:rFonts w:ascii="FangSong_GB2312" w:hAnsi="FangSong_GB2312" w:eastAsia="FangSong_GB2312" w:cs="FangSong_GB2312"/>
          <w:spacing w:val="13"/>
          <w:sz w:val="31"/>
          <w:szCs w:val="31"/>
        </w:rPr>
        <w:t>烟零售点增加经营卷烟许可范围需符合《满洲里市烟草制品零售</w:t>
      </w:r>
      <w:r>
        <w:rPr>
          <w:rFonts w:ascii="FangSong_GB2312" w:hAnsi="FangSong_GB2312" w:eastAsia="FangSong_GB2312" w:cs="FangSong_GB2312"/>
          <w:spacing w:val="4"/>
          <w:sz w:val="31"/>
          <w:szCs w:val="31"/>
        </w:rPr>
        <w:t>点合理布局规划》要求的规定。</w:t>
      </w:r>
    </w:p>
    <w:p w14:paraId="25D67589">
      <w:pPr>
        <w:spacing w:before="210" w:line="282" w:lineRule="auto"/>
        <w:ind w:left="2" w:right="3" w:firstLine="644"/>
        <w:rPr>
          <w:rFonts w:ascii="FangSong_GB2312" w:hAnsi="FangSong_GB2312" w:eastAsia="FangSong_GB2312" w:cs="FangSong_GB2312"/>
          <w:sz w:val="31"/>
          <w:szCs w:val="31"/>
        </w:rPr>
      </w:pPr>
      <w:r>
        <w:rPr>
          <w:rFonts w:ascii="黑体" w:hAnsi="黑体" w:eastAsia="黑体" w:cs="黑体"/>
          <w:spacing w:val="5"/>
          <w:sz w:val="31"/>
          <w:szCs w:val="31"/>
        </w:rPr>
        <w:t>第九条</w:t>
      </w:r>
      <w:r>
        <w:rPr>
          <w:rFonts w:ascii="黑体" w:hAnsi="黑体" w:eastAsia="黑体" w:cs="黑体"/>
          <w:spacing w:val="72"/>
          <w:sz w:val="31"/>
          <w:szCs w:val="31"/>
        </w:rPr>
        <w:t xml:space="preserve"> </w:t>
      </w:r>
      <w:r>
        <w:rPr>
          <w:rFonts w:ascii="FangSong_GB2312" w:hAnsi="FangSong_GB2312" w:eastAsia="FangSong_GB2312" w:cs="FangSong_GB2312"/>
          <w:spacing w:val="5"/>
          <w:sz w:val="31"/>
          <w:szCs w:val="31"/>
        </w:rPr>
        <w:t>电子烟零售点布局按照《内蒙古自治区电子烟零售点</w:t>
      </w:r>
      <w:r>
        <w:rPr>
          <w:rFonts w:ascii="FangSong_GB2312" w:hAnsi="FangSong_GB2312" w:eastAsia="FangSong_GB2312" w:cs="FangSong_GB2312"/>
          <w:spacing w:val="-1"/>
          <w:sz w:val="31"/>
          <w:szCs w:val="31"/>
        </w:rPr>
        <w:t>布局规划》执行。</w:t>
      </w:r>
    </w:p>
    <w:p w14:paraId="2CC79761">
      <w:pPr>
        <w:spacing w:before="206" w:line="227" w:lineRule="auto"/>
        <w:ind w:left="2463"/>
        <w:outlineLvl w:val="0"/>
        <w:rPr>
          <w:rFonts w:ascii="黑体" w:hAnsi="黑体" w:eastAsia="黑体" w:cs="黑体"/>
          <w:sz w:val="31"/>
          <w:szCs w:val="31"/>
        </w:rPr>
      </w:pPr>
      <w:r>
        <w:rPr>
          <w:rFonts w:ascii="黑体" w:hAnsi="黑体" w:eastAsia="黑体" w:cs="黑体"/>
          <w:spacing w:val="8"/>
          <w:sz w:val="31"/>
          <w:szCs w:val="31"/>
        </w:rPr>
        <w:t>第三章  合理布局禁止性情形</w:t>
      </w:r>
    </w:p>
    <w:p w14:paraId="03F21E4E">
      <w:pPr>
        <w:spacing w:before="196" w:line="223" w:lineRule="auto"/>
        <w:ind w:left="646"/>
        <w:rPr>
          <w:rFonts w:ascii="FangSong_GB2312" w:hAnsi="FangSong_GB2312" w:eastAsia="FangSong_GB2312" w:cs="FangSong_GB2312"/>
          <w:sz w:val="31"/>
          <w:szCs w:val="31"/>
        </w:rPr>
      </w:pPr>
      <w:r>
        <w:rPr>
          <w:rFonts w:ascii="黑体" w:hAnsi="黑体" w:eastAsia="黑体" w:cs="黑体"/>
          <w:spacing w:val="5"/>
          <w:sz w:val="31"/>
          <w:szCs w:val="31"/>
        </w:rPr>
        <w:t xml:space="preserve">第十条 </w:t>
      </w:r>
      <w:r>
        <w:rPr>
          <w:rFonts w:ascii="FangSong_GB2312" w:hAnsi="FangSong_GB2312" w:eastAsia="FangSong_GB2312" w:cs="FangSong_GB2312"/>
          <w:spacing w:val="5"/>
          <w:sz w:val="31"/>
          <w:szCs w:val="31"/>
        </w:rPr>
        <w:t>有下列情形之一的，不予设置零售点：</w:t>
      </w:r>
    </w:p>
    <w:p w14:paraId="52141C1F">
      <w:pPr>
        <w:spacing w:before="206" w:line="219" w:lineRule="auto"/>
        <w:ind w:left="638"/>
        <w:rPr>
          <w:rFonts w:ascii="FangSong_GB2312" w:hAnsi="FangSong_GB2312" w:eastAsia="FangSong_GB2312" w:cs="FangSong_GB2312"/>
          <w:sz w:val="31"/>
          <w:szCs w:val="31"/>
        </w:rPr>
      </w:pPr>
      <w:r>
        <w:rPr>
          <w:rFonts w:ascii="FangSong_GB2312" w:hAnsi="FangSong_GB2312" w:eastAsia="FangSong_GB2312" w:cs="FangSong_GB2312"/>
          <w:spacing w:val="8"/>
          <w:sz w:val="31"/>
          <w:szCs w:val="31"/>
        </w:rPr>
        <w:t>（一）未取得营业执照的。</w:t>
      </w:r>
    </w:p>
    <w:p w14:paraId="34079673">
      <w:pPr>
        <w:spacing w:line="219" w:lineRule="auto"/>
        <w:rPr>
          <w:rFonts w:ascii="FangSong_GB2312" w:hAnsi="FangSong_GB2312" w:eastAsia="FangSong_GB2312" w:cs="FangSong_GB2312"/>
          <w:sz w:val="31"/>
          <w:szCs w:val="31"/>
        </w:rPr>
        <w:sectPr>
          <w:footerReference r:id="rId9" w:type="default"/>
          <w:pgSz w:w="11906" w:h="16838"/>
          <w:pgMar w:top="1431" w:right="1414" w:bottom="1195" w:left="1422" w:header="0" w:footer="831" w:gutter="0"/>
          <w:cols w:space="720" w:num="1"/>
        </w:sectPr>
      </w:pPr>
    </w:p>
    <w:p w14:paraId="0D0F888E">
      <w:pPr>
        <w:pStyle w:val="2"/>
        <w:spacing w:line="251" w:lineRule="auto"/>
      </w:pPr>
    </w:p>
    <w:p w14:paraId="18A73434">
      <w:pPr>
        <w:pStyle w:val="2"/>
        <w:spacing w:line="252" w:lineRule="auto"/>
      </w:pPr>
    </w:p>
    <w:p w14:paraId="29D5CF93">
      <w:pPr>
        <w:pStyle w:val="2"/>
        <w:spacing w:line="252" w:lineRule="auto"/>
      </w:pPr>
    </w:p>
    <w:p w14:paraId="6DF89250">
      <w:pPr>
        <w:spacing w:before="101" w:line="319" w:lineRule="auto"/>
        <w:ind w:left="12" w:right="94" w:firstLine="632"/>
        <w:rPr>
          <w:rFonts w:ascii="FangSong_GB2312" w:hAnsi="FangSong_GB2312" w:eastAsia="FangSong_GB2312" w:cs="FangSong_GB2312"/>
          <w:sz w:val="31"/>
          <w:szCs w:val="31"/>
        </w:rPr>
      </w:pPr>
      <w:r>
        <w:rPr>
          <w:rFonts w:ascii="FangSong_GB2312" w:hAnsi="FangSong_GB2312" w:eastAsia="FangSong_GB2312" w:cs="FangSong_GB2312"/>
          <w:spacing w:val="14"/>
          <w:sz w:val="31"/>
          <w:szCs w:val="31"/>
        </w:rPr>
        <w:t>（二）无固定经营场所或经营场所与住所不相独立的。如申</w:t>
      </w:r>
      <w:r>
        <w:rPr>
          <w:rFonts w:ascii="FangSong_GB2312" w:hAnsi="FangSong_GB2312" w:eastAsia="FangSong_GB2312" w:cs="FangSong_GB2312"/>
          <w:spacing w:val="13"/>
          <w:sz w:val="31"/>
          <w:szCs w:val="31"/>
        </w:rPr>
        <w:t>请人经营地址位于阳台、楼宇公用巷道、报刊亭、违章建筑、活动板房、临时建筑物、市政规划已标示待拆迁建筑等临时的非固定经营场所内的；住宅小区、商业用楼除首层全开放式门店外的</w:t>
      </w:r>
      <w:r>
        <w:rPr>
          <w:rFonts w:ascii="FangSong_GB2312" w:hAnsi="FangSong_GB2312" w:eastAsia="FangSong_GB2312" w:cs="FangSong_GB2312"/>
          <w:spacing w:val="5"/>
          <w:sz w:val="31"/>
          <w:szCs w:val="31"/>
        </w:rPr>
        <w:t>不符合与住所相独立要求的其他场所。</w:t>
      </w:r>
    </w:p>
    <w:p w14:paraId="56E8B915">
      <w:pPr>
        <w:spacing w:before="207" w:line="302" w:lineRule="auto"/>
        <w:ind w:left="26" w:right="94" w:firstLine="619"/>
        <w:rPr>
          <w:rFonts w:ascii="FangSong_GB2312" w:hAnsi="FangSong_GB2312" w:eastAsia="FangSong_GB2312" w:cs="FangSong_GB2312"/>
          <w:sz w:val="31"/>
          <w:szCs w:val="31"/>
        </w:rPr>
      </w:pPr>
      <w:r>
        <w:rPr>
          <w:rFonts w:ascii="FangSong_GB2312" w:hAnsi="FangSong_GB2312" w:eastAsia="FangSong_GB2312" w:cs="FangSong_GB2312"/>
          <w:spacing w:val="14"/>
          <w:sz w:val="31"/>
          <w:szCs w:val="31"/>
        </w:rPr>
        <w:t>（三）经营场所存在安全隐患，不具备安全措施保障，不适</w:t>
      </w:r>
      <w:r>
        <w:rPr>
          <w:rFonts w:ascii="FangSong_GB2312" w:hAnsi="FangSong_GB2312" w:eastAsia="FangSong_GB2312" w:cs="FangSong_GB2312"/>
          <w:spacing w:val="13"/>
          <w:sz w:val="31"/>
          <w:szCs w:val="31"/>
        </w:rPr>
        <w:t>宜经营烟草制品的。如主营业务为化工、农药、化肥、鞭炮、燃</w:t>
      </w:r>
      <w:r>
        <w:rPr>
          <w:rFonts w:ascii="FangSong_GB2312" w:hAnsi="FangSong_GB2312" w:eastAsia="FangSong_GB2312" w:cs="FangSong_GB2312"/>
          <w:spacing w:val="7"/>
          <w:sz w:val="31"/>
          <w:szCs w:val="31"/>
        </w:rPr>
        <w:t>气等易燃易爆、有毒有害及容易挥发造成烟草制品污染等场所。</w:t>
      </w:r>
    </w:p>
    <w:p w14:paraId="59A3E22F">
      <w:pPr>
        <w:spacing w:before="208" w:line="303" w:lineRule="auto"/>
        <w:ind w:left="20" w:firstLine="625"/>
        <w:rPr>
          <w:rFonts w:ascii="FangSong_GB2312" w:hAnsi="FangSong_GB2312" w:eastAsia="FangSong_GB2312" w:cs="FangSong_GB2312"/>
          <w:sz w:val="31"/>
          <w:szCs w:val="31"/>
        </w:rPr>
      </w:pPr>
      <w:r>
        <w:rPr>
          <w:rFonts w:ascii="FangSong_GB2312" w:hAnsi="FangSong_GB2312" w:eastAsia="FangSong_GB2312" w:cs="FangSong_GB2312"/>
          <w:spacing w:val="14"/>
          <w:sz w:val="31"/>
          <w:szCs w:val="31"/>
        </w:rPr>
        <w:t>（四）经营场所位于中小学校、幼儿园进出通道口中间点向</w:t>
      </w:r>
      <w:r>
        <w:rPr>
          <w:rFonts w:ascii="FangSong_GB2312" w:hAnsi="FangSong_GB2312" w:eastAsia="FangSong_GB2312" w:cs="FangSong_GB2312"/>
          <w:spacing w:val="3"/>
          <w:sz w:val="31"/>
          <w:szCs w:val="31"/>
        </w:rPr>
        <w:t>外延伸</w:t>
      </w:r>
      <w:r>
        <w:rPr>
          <w:rFonts w:ascii="FangSong_GB2312" w:hAnsi="FangSong_GB2312" w:eastAsia="FangSong_GB2312" w:cs="FangSong_GB2312"/>
          <w:spacing w:val="-33"/>
          <w:sz w:val="31"/>
          <w:szCs w:val="31"/>
        </w:rPr>
        <w:t xml:space="preserve"> </w:t>
      </w:r>
      <w:r>
        <w:rPr>
          <w:rFonts w:ascii="FangSong_GB2312" w:hAnsi="FangSong_GB2312" w:eastAsia="FangSong_GB2312" w:cs="FangSong_GB2312"/>
          <w:spacing w:val="3"/>
          <w:sz w:val="31"/>
          <w:szCs w:val="31"/>
        </w:rPr>
        <w:t>100</w:t>
      </w:r>
      <w:r>
        <w:rPr>
          <w:rFonts w:ascii="FangSong_GB2312" w:hAnsi="FangSong_GB2312" w:eastAsia="FangSong_GB2312" w:cs="FangSong_GB2312"/>
          <w:spacing w:val="-54"/>
          <w:sz w:val="31"/>
          <w:szCs w:val="31"/>
        </w:rPr>
        <w:t xml:space="preserve"> </w:t>
      </w:r>
      <w:r>
        <w:rPr>
          <w:rFonts w:ascii="FangSong_GB2312" w:hAnsi="FangSong_GB2312" w:eastAsia="FangSong_GB2312" w:cs="FangSong_GB2312"/>
          <w:spacing w:val="3"/>
          <w:sz w:val="31"/>
          <w:szCs w:val="31"/>
        </w:rPr>
        <w:t>米区域以内，包括教职工通道、后勤通道、消防通道、</w:t>
      </w:r>
      <w:r>
        <w:rPr>
          <w:rFonts w:ascii="FangSong_GB2312" w:hAnsi="FangSong_GB2312" w:eastAsia="FangSong_GB2312" w:cs="FangSong_GB2312"/>
          <w:spacing w:val="8"/>
          <w:sz w:val="31"/>
          <w:szCs w:val="31"/>
        </w:rPr>
        <w:t>应急通道、垃圾通道，以及常年关闭的边门等出入口。</w:t>
      </w:r>
    </w:p>
    <w:p w14:paraId="34792D66">
      <w:pPr>
        <w:spacing w:before="212" w:line="313" w:lineRule="auto"/>
        <w:ind w:left="13" w:right="94" w:firstLine="631"/>
        <w:rPr>
          <w:rFonts w:ascii="FangSong_GB2312" w:hAnsi="FangSong_GB2312" w:eastAsia="FangSong_GB2312" w:cs="FangSong_GB2312"/>
          <w:sz w:val="31"/>
          <w:szCs w:val="31"/>
        </w:rPr>
      </w:pPr>
      <w:r>
        <w:rPr>
          <w:rFonts w:ascii="FangSong_GB2312" w:hAnsi="FangSong_GB2312" w:eastAsia="FangSong_GB2312" w:cs="FangSong_GB2312"/>
          <w:spacing w:val="14"/>
          <w:sz w:val="31"/>
          <w:szCs w:val="31"/>
        </w:rPr>
        <w:t>（五）容易诱导未成年人关注、购买、吸食卷烟的，包括但</w:t>
      </w:r>
      <w:r>
        <w:rPr>
          <w:rFonts w:ascii="FangSong_GB2312" w:hAnsi="FangSong_GB2312" w:eastAsia="FangSong_GB2312" w:cs="FangSong_GB2312"/>
          <w:spacing w:val="13"/>
          <w:sz w:val="31"/>
          <w:szCs w:val="31"/>
        </w:rPr>
        <w:t>不限于母婴用品店、文具店、玩具店、游乐场所、托幼机构、社</w:t>
      </w:r>
      <w:r>
        <w:rPr>
          <w:rFonts w:ascii="FangSong_GB2312" w:hAnsi="FangSong_GB2312" w:eastAsia="FangSong_GB2312" w:cs="FangSong_GB2312"/>
          <w:spacing w:val="2"/>
          <w:sz w:val="31"/>
          <w:szCs w:val="31"/>
        </w:rPr>
        <w:t>会福利机构、图书馆（室）、科技馆（宫）、美术馆、少年宫等场</w:t>
      </w:r>
      <w:r>
        <w:rPr>
          <w:rFonts w:ascii="FangSong_GB2312" w:hAnsi="FangSong_GB2312" w:eastAsia="FangSong_GB2312" w:cs="FangSong_GB2312"/>
          <w:spacing w:val="-17"/>
          <w:sz w:val="31"/>
          <w:szCs w:val="31"/>
        </w:rPr>
        <w:t>所。</w:t>
      </w:r>
    </w:p>
    <w:p w14:paraId="5B174580">
      <w:pPr>
        <w:spacing w:before="203" w:line="283" w:lineRule="auto"/>
        <w:ind w:left="2" w:right="171" w:firstLine="642"/>
        <w:rPr>
          <w:rFonts w:ascii="FangSong_GB2312" w:hAnsi="FangSong_GB2312" w:eastAsia="FangSong_GB2312" w:cs="FangSong_GB2312"/>
          <w:sz w:val="31"/>
          <w:szCs w:val="31"/>
        </w:rPr>
      </w:pPr>
      <w:r>
        <w:rPr>
          <w:rFonts w:ascii="FangSong_GB2312" w:hAnsi="FangSong_GB2312" w:eastAsia="FangSong_GB2312" w:cs="FangSong_GB2312"/>
          <w:spacing w:val="11"/>
          <w:sz w:val="31"/>
          <w:szCs w:val="31"/>
        </w:rPr>
        <w:t>（六）政府或行业主管部门明令禁止经营烟草制品的区域，</w:t>
      </w:r>
      <w:r>
        <w:rPr>
          <w:rFonts w:ascii="FangSong_GB2312" w:hAnsi="FangSong_GB2312" w:eastAsia="FangSong_GB2312" w:cs="FangSong_GB2312"/>
          <w:spacing w:val="10"/>
          <w:sz w:val="31"/>
          <w:szCs w:val="31"/>
        </w:rPr>
        <w:t>包括但不限于党政机关及其食堂内部、医疗</w:t>
      </w:r>
      <w:r>
        <w:rPr>
          <w:rFonts w:ascii="FangSong_GB2312" w:hAnsi="FangSong_GB2312" w:eastAsia="FangSong_GB2312" w:cs="FangSong_GB2312"/>
          <w:spacing w:val="9"/>
          <w:sz w:val="31"/>
          <w:szCs w:val="31"/>
        </w:rPr>
        <w:t>卫生机构内部</w:t>
      </w:r>
    </w:p>
    <w:p w14:paraId="019584FC">
      <w:pPr>
        <w:spacing w:before="207" w:line="302" w:lineRule="auto"/>
        <w:ind w:left="14" w:firstLine="630"/>
        <w:rPr>
          <w:rFonts w:ascii="FangSong_GB2312" w:hAnsi="FangSong_GB2312" w:eastAsia="FangSong_GB2312" w:cs="FangSong_GB2312"/>
          <w:sz w:val="31"/>
          <w:szCs w:val="31"/>
        </w:rPr>
      </w:pPr>
      <w:r>
        <w:rPr>
          <w:rFonts w:ascii="FangSong_GB2312" w:hAnsi="FangSong_GB2312" w:eastAsia="FangSong_GB2312" w:cs="FangSong_GB2312"/>
          <w:spacing w:val="5"/>
          <w:sz w:val="31"/>
          <w:szCs w:val="31"/>
        </w:rPr>
        <w:t>（七）利用信息网络经营烟草制品的，无人超市、无人商店、</w:t>
      </w:r>
      <w:r>
        <w:rPr>
          <w:rFonts w:ascii="FangSong_GB2312" w:hAnsi="FangSong_GB2312" w:eastAsia="FangSong_GB2312" w:cs="FangSong_GB2312"/>
          <w:spacing w:val="13"/>
          <w:sz w:val="31"/>
          <w:szCs w:val="31"/>
        </w:rPr>
        <w:t>游戏机、博彩机等实行信息技术或者其他自动售货形式，销售或</w:t>
      </w:r>
      <w:r>
        <w:rPr>
          <w:rFonts w:ascii="FangSong_GB2312" w:hAnsi="FangSong_GB2312" w:eastAsia="FangSong_GB2312" w:cs="FangSong_GB2312"/>
          <w:spacing w:val="8"/>
          <w:sz w:val="31"/>
          <w:szCs w:val="31"/>
        </w:rPr>
        <w:t>者变相销售烟草制品的经营场所。</w:t>
      </w:r>
    </w:p>
    <w:p w14:paraId="2384E20C">
      <w:pPr>
        <w:spacing w:before="210" w:line="282" w:lineRule="auto"/>
        <w:ind w:left="26" w:right="94" w:firstLine="619"/>
        <w:rPr>
          <w:rFonts w:ascii="FangSong_GB2312" w:hAnsi="FangSong_GB2312" w:eastAsia="FangSong_GB2312" w:cs="FangSong_GB2312"/>
          <w:sz w:val="31"/>
          <w:szCs w:val="31"/>
        </w:rPr>
      </w:pPr>
      <w:r>
        <w:rPr>
          <w:rFonts w:ascii="FangSong_GB2312" w:hAnsi="FangSong_GB2312" w:eastAsia="FangSong_GB2312" w:cs="FangSong_GB2312"/>
          <w:spacing w:val="14"/>
          <w:sz w:val="31"/>
          <w:szCs w:val="31"/>
        </w:rPr>
        <w:t>（八）主营业务专业性较强，实际经营与烟草制品零售业务</w:t>
      </w:r>
      <w:r>
        <w:rPr>
          <w:rFonts w:ascii="FangSong_GB2312" w:hAnsi="FangSong_GB2312" w:eastAsia="FangSong_GB2312" w:cs="FangSong_GB2312"/>
          <w:spacing w:val="13"/>
          <w:sz w:val="31"/>
          <w:szCs w:val="31"/>
        </w:rPr>
        <w:t>没有直接或间接互补营销关系的业态类型不予设置零售点，包括</w:t>
      </w:r>
    </w:p>
    <w:p w14:paraId="389DD693">
      <w:pPr>
        <w:spacing w:line="282" w:lineRule="auto"/>
        <w:rPr>
          <w:rFonts w:ascii="FangSong_GB2312" w:hAnsi="FangSong_GB2312" w:eastAsia="FangSong_GB2312" w:cs="FangSong_GB2312"/>
          <w:sz w:val="31"/>
          <w:szCs w:val="31"/>
        </w:rPr>
        <w:sectPr>
          <w:footerReference r:id="rId10" w:type="default"/>
          <w:pgSz w:w="11906" w:h="16838"/>
          <w:pgMar w:top="1431" w:right="1320" w:bottom="1195" w:left="1415" w:header="0" w:footer="831" w:gutter="0"/>
          <w:cols w:space="720" w:num="1"/>
        </w:sectPr>
      </w:pPr>
    </w:p>
    <w:p w14:paraId="11DB7E50">
      <w:pPr>
        <w:pStyle w:val="2"/>
        <w:spacing w:line="249" w:lineRule="auto"/>
      </w:pPr>
    </w:p>
    <w:p w14:paraId="5F94ADDF">
      <w:pPr>
        <w:pStyle w:val="2"/>
        <w:spacing w:line="249" w:lineRule="auto"/>
      </w:pPr>
    </w:p>
    <w:p w14:paraId="538E5A7C">
      <w:pPr>
        <w:pStyle w:val="2"/>
        <w:spacing w:line="250" w:lineRule="auto"/>
      </w:pPr>
    </w:p>
    <w:p w14:paraId="14FB7FF6">
      <w:pPr>
        <w:spacing w:before="100" w:line="344" w:lineRule="auto"/>
        <w:ind w:left="1" w:hanging="1"/>
        <w:rPr>
          <w:rFonts w:ascii="FangSong_GB2312" w:hAnsi="FangSong_GB2312" w:eastAsia="FangSong_GB2312" w:cs="FangSong_GB2312"/>
          <w:sz w:val="31"/>
          <w:szCs w:val="31"/>
        </w:rPr>
      </w:pPr>
      <w:r>
        <w:rPr>
          <w:rFonts w:ascii="FangSong_GB2312" w:hAnsi="FangSong_GB2312" w:eastAsia="FangSong_GB2312" w:cs="FangSong_GB2312"/>
          <w:spacing w:val="13"/>
          <w:sz w:val="31"/>
          <w:szCs w:val="31"/>
        </w:rPr>
        <w:t>但不限于纺织服装、日用品专门零售，文化、体育用品及器材专</w:t>
      </w:r>
      <w:r>
        <w:rPr>
          <w:rFonts w:ascii="FangSong_GB2312" w:hAnsi="FangSong_GB2312" w:eastAsia="FangSong_GB2312" w:cs="FangSong_GB2312"/>
          <w:spacing w:val="11"/>
          <w:sz w:val="31"/>
          <w:szCs w:val="31"/>
        </w:rPr>
        <w:t>门零售，</w:t>
      </w:r>
      <w:r>
        <w:rPr>
          <w:rFonts w:ascii="FangSong_GB2312" w:hAnsi="FangSong_GB2312" w:eastAsia="FangSong_GB2312" w:cs="FangSong_GB2312"/>
          <w:spacing w:val="-82"/>
          <w:sz w:val="31"/>
          <w:szCs w:val="31"/>
        </w:rPr>
        <w:t xml:space="preserve"> </w:t>
      </w:r>
      <w:r>
        <w:rPr>
          <w:rFonts w:ascii="FangSong_GB2312" w:hAnsi="FangSong_GB2312" w:eastAsia="FangSong_GB2312" w:cs="FangSong_GB2312"/>
          <w:spacing w:val="11"/>
          <w:sz w:val="31"/>
          <w:szCs w:val="31"/>
        </w:rPr>
        <w:t>医药及医疗器材专门零售，通信器材、家用电器及电子</w:t>
      </w:r>
      <w:r>
        <w:rPr>
          <w:rFonts w:ascii="FangSong_GB2312" w:hAnsi="FangSong_GB2312" w:eastAsia="FangSong_GB2312" w:cs="FangSong_GB2312"/>
          <w:spacing w:val="13"/>
          <w:sz w:val="31"/>
          <w:szCs w:val="31"/>
        </w:rPr>
        <w:t>产品销售、修理、汽车服务，美容美甲美发、洗浴和保健养生服务，旅馆旅店、摄影扩印、婚姻服务、殡葬服务、宠物服务、餐饮服务；棋牌茶楼、网吧游戏、彩票活动等娱乐业，寄卖典当、快递驿站、中介劳务咨询，五金建材、渔业水产，火锅食材、肉</w:t>
      </w:r>
      <w:r>
        <w:rPr>
          <w:rFonts w:ascii="FangSong_GB2312" w:hAnsi="FangSong_GB2312" w:eastAsia="FangSong_GB2312" w:cs="FangSong_GB2312"/>
          <w:spacing w:val="6"/>
          <w:sz w:val="31"/>
          <w:szCs w:val="31"/>
        </w:rPr>
        <w:t>店、海鲜生鲜店、面粉面食加工等。</w:t>
      </w:r>
    </w:p>
    <w:p w14:paraId="4480B376">
      <w:pPr>
        <w:spacing w:before="1" w:line="345" w:lineRule="auto"/>
        <w:ind w:left="28" w:right="23" w:firstLine="605"/>
        <w:rPr>
          <w:rFonts w:ascii="FangSong_GB2312" w:hAnsi="FangSong_GB2312" w:eastAsia="FangSong_GB2312" w:cs="FangSong_GB2312"/>
          <w:sz w:val="31"/>
          <w:szCs w:val="31"/>
        </w:rPr>
      </w:pPr>
      <w:r>
        <w:rPr>
          <w:rFonts w:ascii="FangSong_GB2312" w:hAnsi="FangSong_GB2312" w:eastAsia="FangSong_GB2312" w:cs="FangSong_GB2312"/>
          <w:spacing w:val="13"/>
          <w:sz w:val="31"/>
          <w:szCs w:val="31"/>
        </w:rPr>
        <w:t>（九）法律法规、规章规定的不予发放烟草专卖零售许可证</w:t>
      </w:r>
      <w:r>
        <w:rPr>
          <w:rFonts w:ascii="FangSong_GB2312" w:hAnsi="FangSong_GB2312" w:eastAsia="FangSong_GB2312" w:cs="FangSong_GB2312"/>
          <w:spacing w:val="1"/>
          <w:sz w:val="31"/>
          <w:szCs w:val="31"/>
        </w:rPr>
        <w:t>的其他情形。</w:t>
      </w:r>
    </w:p>
    <w:p w14:paraId="6E070C9A">
      <w:pPr>
        <w:spacing w:line="227" w:lineRule="auto"/>
        <w:ind w:left="2938"/>
        <w:outlineLvl w:val="0"/>
        <w:rPr>
          <w:rFonts w:ascii="黑体" w:hAnsi="黑体" w:eastAsia="黑体" w:cs="黑体"/>
          <w:sz w:val="31"/>
          <w:szCs w:val="31"/>
        </w:rPr>
      </w:pPr>
      <w:r>
        <w:rPr>
          <w:rFonts w:ascii="黑体" w:hAnsi="黑体" w:eastAsia="黑体" w:cs="黑体"/>
          <w:spacing w:val="7"/>
          <w:sz w:val="31"/>
          <w:szCs w:val="31"/>
        </w:rPr>
        <w:t>第四章  布局其他情形</w:t>
      </w:r>
    </w:p>
    <w:p w14:paraId="59278538">
      <w:pPr>
        <w:spacing w:before="194" w:line="344" w:lineRule="auto"/>
        <w:ind w:left="14" w:firstLine="627"/>
        <w:jc w:val="both"/>
        <w:rPr>
          <w:rFonts w:ascii="FangSong_GB2312" w:hAnsi="FangSong_GB2312" w:eastAsia="FangSong_GB2312" w:cs="FangSong_GB2312"/>
          <w:sz w:val="31"/>
          <w:szCs w:val="31"/>
        </w:rPr>
      </w:pPr>
      <w:r>
        <w:rPr>
          <w:rFonts w:ascii="黑体" w:hAnsi="黑体" w:eastAsia="黑体" w:cs="黑体"/>
          <w:spacing w:val="6"/>
          <w:sz w:val="31"/>
          <w:szCs w:val="31"/>
        </w:rPr>
        <w:t>第十一条</w:t>
      </w:r>
      <w:r>
        <w:rPr>
          <w:rFonts w:ascii="黑体" w:hAnsi="黑体" w:eastAsia="黑体" w:cs="黑体"/>
          <w:spacing w:val="49"/>
          <w:sz w:val="31"/>
          <w:szCs w:val="31"/>
        </w:rPr>
        <w:t xml:space="preserve"> </w:t>
      </w:r>
      <w:r>
        <w:rPr>
          <w:rFonts w:ascii="FangSong_GB2312" w:hAnsi="FangSong_GB2312" w:eastAsia="FangSong_GB2312" w:cs="FangSong_GB2312"/>
          <w:spacing w:val="6"/>
          <w:sz w:val="31"/>
          <w:szCs w:val="31"/>
        </w:rPr>
        <w:t>符合下列情形之一的，申请人申请烟草专卖</w:t>
      </w:r>
      <w:r>
        <w:rPr>
          <w:rFonts w:ascii="FangSong_GB2312" w:hAnsi="FangSong_GB2312" w:eastAsia="FangSong_GB2312" w:cs="FangSong_GB2312"/>
          <w:spacing w:val="5"/>
          <w:sz w:val="31"/>
          <w:szCs w:val="31"/>
        </w:rPr>
        <w:t>零售许</w:t>
      </w:r>
      <w:r>
        <w:rPr>
          <w:rFonts w:ascii="FangSong_GB2312" w:hAnsi="FangSong_GB2312" w:eastAsia="FangSong_GB2312" w:cs="FangSong_GB2312"/>
          <w:spacing w:val="13"/>
          <w:sz w:val="31"/>
          <w:szCs w:val="31"/>
        </w:rPr>
        <w:t>可证条件给予放宽，但基于经营场所的安全要求和中小学、幼儿</w:t>
      </w:r>
      <w:r>
        <w:rPr>
          <w:rFonts w:ascii="FangSong_GB2312" w:hAnsi="FangSong_GB2312" w:eastAsia="FangSong_GB2312" w:cs="FangSong_GB2312"/>
          <w:spacing w:val="5"/>
          <w:sz w:val="31"/>
          <w:szCs w:val="31"/>
        </w:rPr>
        <w:t>园周围的限制规定等除外，具体规定如下：</w:t>
      </w:r>
    </w:p>
    <w:p w14:paraId="26CDDC6A">
      <w:pPr>
        <w:spacing w:before="2" w:line="320" w:lineRule="auto"/>
        <w:ind w:left="18" w:firstLine="615"/>
        <w:rPr>
          <w:rFonts w:ascii="FangSong_GB2312" w:hAnsi="FangSong_GB2312" w:eastAsia="FangSong_GB2312" w:cs="FangSong_GB2312"/>
          <w:sz w:val="31"/>
          <w:szCs w:val="31"/>
        </w:rPr>
      </w:pPr>
      <w:r>
        <w:rPr>
          <w:rFonts w:ascii="FangSong_GB2312" w:hAnsi="FangSong_GB2312" w:eastAsia="FangSong_GB2312" w:cs="FangSong_GB2312"/>
          <w:spacing w:val="14"/>
          <w:sz w:val="31"/>
          <w:szCs w:val="31"/>
        </w:rPr>
        <w:t>（一）具有独立经营能力、完全民事行为能力且持有效证件</w:t>
      </w:r>
      <w:r>
        <w:rPr>
          <w:rFonts w:ascii="FangSong_GB2312" w:hAnsi="FangSong_GB2312" w:eastAsia="FangSong_GB2312" w:cs="FangSong_GB2312"/>
          <w:spacing w:val="10"/>
          <w:sz w:val="31"/>
          <w:szCs w:val="31"/>
        </w:rPr>
        <w:t>的军烈属和肢体残疾三级（含）</w:t>
      </w:r>
      <w:r>
        <w:rPr>
          <w:rFonts w:ascii="FangSong_GB2312" w:hAnsi="FangSong_GB2312" w:eastAsia="FangSong_GB2312" w:cs="FangSong_GB2312"/>
          <w:spacing w:val="-74"/>
          <w:sz w:val="31"/>
          <w:szCs w:val="31"/>
        </w:rPr>
        <w:t xml:space="preserve"> </w:t>
      </w:r>
      <w:r>
        <w:rPr>
          <w:rFonts w:ascii="FangSong_GB2312" w:hAnsi="FangSong_GB2312" w:eastAsia="FangSong_GB2312" w:cs="FangSong_GB2312"/>
          <w:spacing w:val="10"/>
          <w:sz w:val="31"/>
          <w:szCs w:val="31"/>
        </w:rPr>
        <w:t>以上的残疾人，首次申办烟草专</w:t>
      </w:r>
      <w:r>
        <w:rPr>
          <w:rFonts w:ascii="FangSong_GB2312" w:hAnsi="FangSong_GB2312" w:eastAsia="FangSong_GB2312" w:cs="FangSong_GB2312"/>
          <w:spacing w:val="13"/>
          <w:sz w:val="31"/>
          <w:szCs w:val="31"/>
        </w:rPr>
        <w:t>卖零售许可证的，仅限一证，且必须本人驻店经营。在符合所属区域单元零售点容量标准的前提下，按照所属区域单元内规定距</w:t>
      </w:r>
      <w:r>
        <w:rPr>
          <w:rFonts w:ascii="FangSong_GB2312" w:hAnsi="FangSong_GB2312" w:eastAsia="FangSong_GB2312" w:cs="FangSong_GB2312"/>
          <w:spacing w:val="-1"/>
          <w:sz w:val="31"/>
          <w:szCs w:val="31"/>
        </w:rPr>
        <w:t>离的</w:t>
      </w:r>
      <w:r>
        <w:rPr>
          <w:rFonts w:ascii="FangSong_GB2312" w:hAnsi="FangSong_GB2312" w:eastAsia="FangSong_GB2312" w:cs="FangSong_GB2312"/>
          <w:spacing w:val="-46"/>
          <w:sz w:val="31"/>
          <w:szCs w:val="31"/>
        </w:rPr>
        <w:t xml:space="preserve"> </w:t>
      </w:r>
      <w:r>
        <w:rPr>
          <w:rFonts w:ascii="FangSong_GB2312" w:hAnsi="FangSong_GB2312" w:eastAsia="FangSong_GB2312" w:cs="FangSong_GB2312"/>
          <w:spacing w:val="-1"/>
          <w:sz w:val="31"/>
          <w:szCs w:val="31"/>
        </w:rPr>
        <w:t>80%执行。</w:t>
      </w:r>
    </w:p>
    <w:p w14:paraId="3F7EA11B">
      <w:pPr>
        <w:spacing w:before="207" w:line="302" w:lineRule="auto"/>
        <w:ind w:left="6" w:firstLine="627"/>
        <w:rPr>
          <w:rFonts w:ascii="FangSong_GB2312" w:hAnsi="FangSong_GB2312" w:eastAsia="FangSong_GB2312" w:cs="FangSong_GB2312"/>
          <w:sz w:val="31"/>
          <w:szCs w:val="31"/>
        </w:rPr>
      </w:pPr>
      <w:r>
        <w:rPr>
          <w:rFonts w:ascii="FangSong_GB2312" w:hAnsi="FangSong_GB2312" w:eastAsia="FangSong_GB2312" w:cs="FangSong_GB2312"/>
          <w:spacing w:val="7"/>
          <w:sz w:val="31"/>
          <w:szCs w:val="31"/>
        </w:rPr>
        <w:t>（二）因道路规划、城市建设、中小学、幼儿园 100 米区域</w:t>
      </w:r>
      <w:r>
        <w:rPr>
          <w:rFonts w:ascii="FangSong_GB2312" w:hAnsi="FangSong_GB2312" w:eastAsia="FangSong_GB2312" w:cs="FangSong_GB2312"/>
          <w:spacing w:val="13"/>
          <w:sz w:val="31"/>
          <w:szCs w:val="31"/>
        </w:rPr>
        <w:t>等客观原因造成无法在核定经营地址经营，持证人在许可证有效期内主动申请变更到原发证机关辖区内其他地址经营的，在符合</w:t>
      </w:r>
    </w:p>
    <w:p w14:paraId="4EC019F8">
      <w:pPr>
        <w:spacing w:line="302" w:lineRule="auto"/>
        <w:rPr>
          <w:rFonts w:ascii="FangSong_GB2312" w:hAnsi="FangSong_GB2312" w:eastAsia="FangSong_GB2312" w:cs="FangSong_GB2312"/>
          <w:sz w:val="31"/>
          <w:szCs w:val="31"/>
        </w:rPr>
        <w:sectPr>
          <w:footerReference r:id="rId11" w:type="default"/>
          <w:pgSz w:w="11906" w:h="16838"/>
          <w:pgMar w:top="1431" w:right="1414" w:bottom="1195" w:left="1427" w:header="0" w:footer="831" w:gutter="0"/>
          <w:cols w:space="720" w:num="1"/>
        </w:sectPr>
      </w:pPr>
    </w:p>
    <w:p w14:paraId="668D4A8F">
      <w:pPr>
        <w:pStyle w:val="2"/>
        <w:spacing w:line="250" w:lineRule="auto"/>
      </w:pPr>
    </w:p>
    <w:p w14:paraId="59672CBB">
      <w:pPr>
        <w:pStyle w:val="2"/>
        <w:spacing w:line="251" w:lineRule="auto"/>
      </w:pPr>
    </w:p>
    <w:p w14:paraId="1E3AED61">
      <w:pPr>
        <w:pStyle w:val="2"/>
        <w:spacing w:line="251" w:lineRule="auto"/>
      </w:pPr>
    </w:p>
    <w:p w14:paraId="446EAED0">
      <w:pPr>
        <w:spacing w:before="101" w:line="343" w:lineRule="auto"/>
        <w:ind w:left="15" w:right="88" w:hanging="2"/>
        <w:rPr>
          <w:rFonts w:ascii="FangSong_GB2312" w:hAnsi="FangSong_GB2312" w:eastAsia="FangSong_GB2312" w:cs="FangSong_GB2312"/>
          <w:sz w:val="31"/>
          <w:szCs w:val="31"/>
        </w:rPr>
      </w:pPr>
      <w:r>
        <w:rPr>
          <w:rFonts w:ascii="FangSong_GB2312" w:hAnsi="FangSong_GB2312" w:eastAsia="FangSong_GB2312" w:cs="FangSong_GB2312"/>
          <w:spacing w:val="13"/>
          <w:sz w:val="31"/>
          <w:szCs w:val="31"/>
        </w:rPr>
        <w:t>所属区域单元零售点容量标准的前提下，按照所属区域单元内规</w:t>
      </w:r>
      <w:r>
        <w:rPr>
          <w:rFonts w:ascii="FangSong_GB2312" w:hAnsi="FangSong_GB2312" w:eastAsia="FangSong_GB2312" w:cs="FangSong_GB2312"/>
          <w:spacing w:val="2"/>
          <w:sz w:val="31"/>
          <w:szCs w:val="31"/>
        </w:rPr>
        <w:t>定距离的</w:t>
      </w:r>
      <w:r>
        <w:rPr>
          <w:rFonts w:ascii="FangSong_GB2312" w:hAnsi="FangSong_GB2312" w:eastAsia="FangSong_GB2312" w:cs="FangSong_GB2312"/>
          <w:spacing w:val="-39"/>
          <w:sz w:val="31"/>
          <w:szCs w:val="31"/>
        </w:rPr>
        <w:t xml:space="preserve"> </w:t>
      </w:r>
      <w:r>
        <w:rPr>
          <w:rFonts w:ascii="FangSong_GB2312" w:hAnsi="FangSong_GB2312" w:eastAsia="FangSong_GB2312" w:cs="FangSong_GB2312"/>
          <w:spacing w:val="2"/>
          <w:sz w:val="31"/>
          <w:szCs w:val="31"/>
        </w:rPr>
        <w:t>80%执行。</w:t>
      </w:r>
    </w:p>
    <w:p w14:paraId="41F16352">
      <w:pPr>
        <w:spacing w:line="344" w:lineRule="auto"/>
        <w:ind w:left="7" w:right="7" w:firstLine="629"/>
        <w:jc w:val="both"/>
        <w:rPr>
          <w:rFonts w:ascii="FangSong_GB2312" w:hAnsi="FangSong_GB2312" w:eastAsia="FangSong_GB2312" w:cs="FangSong_GB2312"/>
          <w:sz w:val="31"/>
          <w:szCs w:val="31"/>
        </w:rPr>
      </w:pPr>
      <w:r>
        <w:rPr>
          <w:rFonts w:ascii="黑体" w:hAnsi="黑体" w:eastAsia="黑体" w:cs="黑体"/>
          <w:spacing w:val="8"/>
          <w:sz w:val="31"/>
          <w:szCs w:val="31"/>
        </w:rPr>
        <w:t xml:space="preserve">第十二条 </w:t>
      </w:r>
      <w:r>
        <w:rPr>
          <w:rFonts w:ascii="FangSong_GB2312" w:hAnsi="FangSong_GB2312" w:eastAsia="FangSong_GB2312" w:cs="FangSong_GB2312"/>
          <w:spacing w:val="8"/>
          <w:sz w:val="31"/>
          <w:szCs w:val="31"/>
        </w:rPr>
        <w:t>家庭经营的个体工商户认定，以当地市场监管部门</w:t>
      </w:r>
      <w:r>
        <w:rPr>
          <w:rFonts w:ascii="FangSong_GB2312" w:hAnsi="FangSong_GB2312" w:eastAsia="FangSong_GB2312" w:cs="FangSong_GB2312"/>
          <w:spacing w:val="5"/>
          <w:sz w:val="31"/>
          <w:szCs w:val="31"/>
        </w:rPr>
        <w:t>登记为准；参加经营的家庭成员限于当地市场监管部门备案范围，</w:t>
      </w:r>
      <w:r>
        <w:rPr>
          <w:rFonts w:ascii="FangSong_GB2312" w:hAnsi="FangSong_GB2312" w:eastAsia="FangSong_GB2312" w:cs="FangSong_GB2312"/>
          <w:spacing w:val="14"/>
          <w:sz w:val="31"/>
          <w:szCs w:val="31"/>
        </w:rPr>
        <w:t>且属于《中华人民共和国民法典》规定的配偶、父</w:t>
      </w:r>
      <w:r>
        <w:rPr>
          <w:rFonts w:ascii="FangSong_GB2312" w:hAnsi="FangSong_GB2312" w:eastAsia="FangSong_GB2312" w:cs="FangSong_GB2312"/>
          <w:spacing w:val="13"/>
          <w:sz w:val="31"/>
          <w:szCs w:val="31"/>
        </w:rPr>
        <w:t>母、子女和其</w:t>
      </w:r>
      <w:r>
        <w:rPr>
          <w:rFonts w:ascii="FangSong_GB2312" w:hAnsi="FangSong_GB2312" w:eastAsia="FangSong_GB2312" w:cs="FangSong_GB2312"/>
          <w:spacing w:val="4"/>
          <w:sz w:val="31"/>
          <w:szCs w:val="31"/>
        </w:rPr>
        <w:t>他共同生活的近亲属。</w:t>
      </w:r>
    </w:p>
    <w:p w14:paraId="61627B4F">
      <w:pPr>
        <w:spacing w:before="2" w:line="227" w:lineRule="auto"/>
        <w:ind w:left="3669"/>
        <w:outlineLvl w:val="0"/>
        <w:rPr>
          <w:rFonts w:ascii="黑体" w:hAnsi="黑体" w:eastAsia="黑体" w:cs="黑体"/>
          <w:sz w:val="31"/>
          <w:szCs w:val="31"/>
        </w:rPr>
      </w:pPr>
      <w:r>
        <w:rPr>
          <w:rFonts w:ascii="黑体" w:hAnsi="黑体" w:eastAsia="黑体" w:cs="黑体"/>
          <w:spacing w:val="2"/>
          <w:sz w:val="31"/>
          <w:szCs w:val="31"/>
        </w:rPr>
        <w:t>第五章</w:t>
      </w:r>
      <w:r>
        <w:rPr>
          <w:rFonts w:ascii="黑体" w:hAnsi="黑体" w:eastAsia="黑体" w:cs="黑体"/>
          <w:spacing w:val="33"/>
          <w:sz w:val="31"/>
          <w:szCs w:val="31"/>
        </w:rPr>
        <w:t xml:space="preserve"> </w:t>
      </w:r>
      <w:r>
        <w:rPr>
          <w:rFonts w:ascii="黑体" w:hAnsi="黑体" w:eastAsia="黑体" w:cs="黑体"/>
          <w:spacing w:val="2"/>
          <w:sz w:val="31"/>
          <w:szCs w:val="31"/>
        </w:rPr>
        <w:t>附则</w:t>
      </w:r>
    </w:p>
    <w:p w14:paraId="13177816">
      <w:pPr>
        <w:spacing w:before="190" w:line="320" w:lineRule="auto"/>
        <w:ind w:left="12" w:right="86" w:firstLine="640"/>
        <w:rPr>
          <w:rFonts w:ascii="FangSong_GB2312" w:hAnsi="FangSong_GB2312" w:eastAsia="FangSong_GB2312" w:cs="FangSong_GB2312"/>
          <w:sz w:val="31"/>
          <w:szCs w:val="31"/>
        </w:rPr>
      </w:pPr>
      <w:r>
        <w:rPr>
          <w:rFonts w:ascii="黑体" w:hAnsi="黑体" w:eastAsia="黑体" w:cs="黑体"/>
          <w:spacing w:val="5"/>
          <w:sz w:val="31"/>
          <w:szCs w:val="31"/>
        </w:rPr>
        <w:t>第十三条</w:t>
      </w:r>
      <w:r>
        <w:rPr>
          <w:rFonts w:ascii="黑体" w:hAnsi="黑体" w:eastAsia="黑体" w:cs="黑体"/>
          <w:spacing w:val="72"/>
          <w:sz w:val="31"/>
          <w:szCs w:val="31"/>
        </w:rPr>
        <w:t xml:space="preserve"> </w:t>
      </w:r>
      <w:r>
        <w:rPr>
          <w:rFonts w:ascii="FangSong_GB2312" w:hAnsi="FangSong_GB2312" w:eastAsia="FangSong_GB2312" w:cs="FangSong_GB2312"/>
          <w:spacing w:val="5"/>
          <w:sz w:val="31"/>
          <w:szCs w:val="31"/>
        </w:rPr>
        <w:t>已合法持有烟草专卖零售许可证的零售户，在许可</w:t>
      </w:r>
      <w:r>
        <w:rPr>
          <w:rFonts w:ascii="FangSong_GB2312" w:hAnsi="FangSong_GB2312" w:eastAsia="FangSong_GB2312" w:cs="FangSong_GB2312"/>
          <w:spacing w:val="25"/>
          <w:sz w:val="31"/>
          <w:szCs w:val="31"/>
        </w:rPr>
        <w:t>证有效期内不受所在地烟草制品零售点合理布局规划调整的影</w:t>
      </w:r>
      <w:r>
        <w:rPr>
          <w:rFonts w:ascii="FangSong_GB2312" w:hAnsi="FangSong_GB2312" w:eastAsia="FangSong_GB2312" w:cs="FangSong_GB2312"/>
          <w:spacing w:val="13"/>
          <w:sz w:val="31"/>
          <w:szCs w:val="31"/>
        </w:rPr>
        <w:t>响。持证人办理延续申请，除经营场所的安全要求和中小学、幼儿园周围的限制规定外，不受所在地烟草制品零售点合理布局规</w:t>
      </w:r>
      <w:r>
        <w:rPr>
          <w:rFonts w:ascii="FangSong_GB2312" w:hAnsi="FangSong_GB2312" w:eastAsia="FangSong_GB2312" w:cs="FangSong_GB2312"/>
          <w:spacing w:val="3"/>
          <w:sz w:val="31"/>
          <w:szCs w:val="31"/>
        </w:rPr>
        <w:t>划其他规定调整的影响。</w:t>
      </w:r>
    </w:p>
    <w:p w14:paraId="172F5A36">
      <w:pPr>
        <w:spacing w:before="204" w:line="314" w:lineRule="auto"/>
        <w:ind w:left="20" w:right="88" w:firstLine="633"/>
        <w:rPr>
          <w:rFonts w:ascii="FangSong_GB2312" w:hAnsi="FangSong_GB2312" w:eastAsia="FangSong_GB2312" w:cs="FangSong_GB2312"/>
          <w:sz w:val="31"/>
          <w:szCs w:val="31"/>
        </w:rPr>
      </w:pPr>
      <w:r>
        <w:rPr>
          <w:rFonts w:ascii="黑体" w:hAnsi="黑体" w:eastAsia="黑体" w:cs="黑体"/>
          <w:spacing w:val="7"/>
          <w:sz w:val="31"/>
          <w:szCs w:val="31"/>
        </w:rPr>
        <w:t xml:space="preserve">第十四条 </w:t>
      </w:r>
      <w:r>
        <w:rPr>
          <w:rFonts w:ascii="FangSong_GB2312" w:hAnsi="FangSong_GB2312" w:eastAsia="FangSong_GB2312" w:cs="FangSong_GB2312"/>
          <w:spacing w:val="7"/>
          <w:sz w:val="31"/>
          <w:szCs w:val="31"/>
        </w:rPr>
        <w:t>本规划中涉及间距测量方法具体见《烟草制品零售</w:t>
      </w:r>
      <w:r>
        <w:rPr>
          <w:rFonts w:ascii="FangSong_GB2312" w:hAnsi="FangSong_GB2312" w:eastAsia="FangSong_GB2312" w:cs="FangSong_GB2312"/>
          <w:spacing w:val="-2"/>
          <w:sz w:val="31"/>
          <w:szCs w:val="31"/>
        </w:rPr>
        <w:t>点现场测量标准》（附件</w:t>
      </w:r>
      <w:r>
        <w:rPr>
          <w:rFonts w:ascii="FangSong_GB2312" w:hAnsi="FangSong_GB2312" w:eastAsia="FangSong_GB2312" w:cs="FangSong_GB2312"/>
          <w:spacing w:val="-48"/>
          <w:sz w:val="31"/>
          <w:szCs w:val="31"/>
        </w:rPr>
        <w:t xml:space="preserve"> </w:t>
      </w:r>
      <w:r>
        <w:rPr>
          <w:rFonts w:ascii="FangSong_GB2312" w:hAnsi="FangSong_GB2312" w:eastAsia="FangSong_GB2312" w:cs="FangSong_GB2312"/>
          <w:spacing w:val="-2"/>
          <w:sz w:val="31"/>
          <w:szCs w:val="31"/>
        </w:rPr>
        <w:t>2</w:t>
      </w:r>
      <w:r>
        <w:rPr>
          <w:rFonts w:ascii="FangSong_GB2312" w:hAnsi="FangSong_GB2312" w:eastAsia="FangSong_GB2312" w:cs="FangSong_GB2312"/>
          <w:spacing w:val="-73"/>
          <w:sz w:val="31"/>
          <w:szCs w:val="31"/>
        </w:rPr>
        <w:t>），</w:t>
      </w:r>
      <w:r>
        <w:rPr>
          <w:rFonts w:ascii="FangSong_GB2312" w:hAnsi="FangSong_GB2312" w:eastAsia="FangSong_GB2312" w:cs="FangSong_GB2312"/>
          <w:spacing w:val="-2"/>
          <w:sz w:val="31"/>
          <w:szCs w:val="31"/>
        </w:rPr>
        <w:t>测量标准遵照《中华人民共和国道路</w:t>
      </w:r>
      <w:r>
        <w:rPr>
          <w:rFonts w:ascii="FangSong_GB2312" w:hAnsi="FangSong_GB2312" w:eastAsia="FangSong_GB2312" w:cs="FangSong_GB2312"/>
          <w:spacing w:val="13"/>
          <w:sz w:val="31"/>
          <w:szCs w:val="31"/>
        </w:rPr>
        <w:t>交通安全法》和《中华人民共和国道路交通安全法实施条例》中</w:t>
      </w:r>
      <w:r>
        <w:rPr>
          <w:rFonts w:ascii="FangSong_GB2312" w:hAnsi="FangSong_GB2312" w:eastAsia="FangSong_GB2312" w:cs="FangSong_GB2312"/>
          <w:spacing w:val="7"/>
          <w:sz w:val="31"/>
          <w:szCs w:val="31"/>
        </w:rPr>
        <w:t>有关行人道路通行的规定。</w:t>
      </w:r>
    </w:p>
    <w:p w14:paraId="61EE6C02">
      <w:pPr>
        <w:spacing w:before="206" w:line="344" w:lineRule="auto"/>
        <w:ind w:left="4" w:firstLine="669"/>
        <w:jc w:val="both"/>
        <w:rPr>
          <w:rFonts w:ascii="FangSong_GB2312" w:hAnsi="FangSong_GB2312" w:eastAsia="FangSong_GB2312" w:cs="FangSong_GB2312"/>
          <w:sz w:val="31"/>
          <w:szCs w:val="31"/>
        </w:rPr>
      </w:pPr>
      <w:r>
        <w:rPr>
          <w:rFonts w:ascii="FangSong_GB2312" w:hAnsi="FangSong_GB2312" w:eastAsia="FangSong_GB2312" w:cs="FangSong_GB2312"/>
          <w:spacing w:val="10"/>
          <w:sz w:val="31"/>
          <w:szCs w:val="31"/>
        </w:rPr>
        <w:t>中小学校、幼儿园测距方法：</w:t>
      </w:r>
      <w:r>
        <w:rPr>
          <w:rFonts w:ascii="FangSong_GB2312" w:hAnsi="FangSong_GB2312" w:eastAsia="FangSong_GB2312" w:cs="FangSong_GB2312"/>
          <w:spacing w:val="-74"/>
          <w:sz w:val="31"/>
          <w:szCs w:val="31"/>
        </w:rPr>
        <w:t xml:space="preserve"> </w:t>
      </w:r>
      <w:r>
        <w:rPr>
          <w:rFonts w:ascii="FangSong_GB2312" w:hAnsi="FangSong_GB2312" w:eastAsia="FangSong_GB2312" w:cs="FangSong_GB2312"/>
          <w:spacing w:val="10"/>
          <w:sz w:val="31"/>
          <w:szCs w:val="31"/>
        </w:rPr>
        <w:t>中小学校、幼儿园进出通道口</w:t>
      </w:r>
      <w:r>
        <w:rPr>
          <w:rFonts w:ascii="FangSong_GB2312" w:hAnsi="FangSong_GB2312" w:eastAsia="FangSong_GB2312" w:cs="FangSong_GB2312"/>
          <w:spacing w:val="14"/>
          <w:sz w:val="31"/>
          <w:szCs w:val="31"/>
        </w:rPr>
        <w:t>（包括教职工通道、后勤通道、消防通道、应急通道、垃</w:t>
      </w:r>
      <w:r>
        <w:rPr>
          <w:rFonts w:ascii="FangSong_GB2312" w:hAnsi="FangSong_GB2312" w:eastAsia="FangSong_GB2312" w:cs="FangSong_GB2312"/>
          <w:spacing w:val="13"/>
          <w:sz w:val="31"/>
          <w:szCs w:val="31"/>
        </w:rPr>
        <w:t>圾通道</w:t>
      </w:r>
      <w:r>
        <w:rPr>
          <w:rFonts w:ascii="FangSong_GB2312" w:hAnsi="FangSong_GB2312" w:eastAsia="FangSong_GB2312" w:cs="FangSong_GB2312"/>
          <w:spacing w:val="11"/>
          <w:sz w:val="31"/>
          <w:szCs w:val="31"/>
        </w:rPr>
        <w:t>以及长年关闭的边门等出入口）</w:t>
      </w:r>
      <w:r>
        <w:rPr>
          <w:rFonts w:ascii="FangSong_GB2312" w:hAnsi="FangSong_GB2312" w:eastAsia="FangSong_GB2312" w:cs="FangSong_GB2312"/>
          <w:spacing w:val="-74"/>
          <w:sz w:val="31"/>
          <w:szCs w:val="31"/>
        </w:rPr>
        <w:t xml:space="preserve"> </w:t>
      </w:r>
      <w:r>
        <w:rPr>
          <w:rFonts w:ascii="FangSong_GB2312" w:hAnsi="FangSong_GB2312" w:eastAsia="FangSong_GB2312" w:cs="FangSong_GB2312"/>
          <w:spacing w:val="11"/>
          <w:sz w:val="31"/>
          <w:szCs w:val="31"/>
        </w:rPr>
        <w:t>中心点到烟草制品零售点出入口</w:t>
      </w:r>
      <w:r>
        <w:rPr>
          <w:rFonts w:ascii="FangSong_GB2312" w:hAnsi="FangSong_GB2312" w:eastAsia="FangSong_GB2312" w:cs="FangSong_GB2312"/>
          <w:spacing w:val="6"/>
          <w:sz w:val="31"/>
          <w:szCs w:val="31"/>
        </w:rPr>
        <w:t>中心点测量方式为可通行最短距离，多个门的以最</w:t>
      </w:r>
      <w:r>
        <w:rPr>
          <w:rFonts w:ascii="FangSong_GB2312" w:hAnsi="FangSong_GB2312" w:eastAsia="FangSong_GB2312" w:cs="FangSong_GB2312"/>
          <w:spacing w:val="5"/>
          <w:sz w:val="31"/>
          <w:szCs w:val="31"/>
        </w:rPr>
        <w:t>近的距离为准。</w:t>
      </w:r>
    </w:p>
    <w:p w14:paraId="0E03FFFA">
      <w:pPr>
        <w:spacing w:line="342" w:lineRule="auto"/>
        <w:ind w:left="16" w:right="91" w:firstLine="636"/>
        <w:rPr>
          <w:rFonts w:ascii="FangSong_GB2312" w:hAnsi="FangSong_GB2312" w:eastAsia="FangSong_GB2312" w:cs="FangSong_GB2312"/>
          <w:sz w:val="31"/>
          <w:szCs w:val="31"/>
        </w:rPr>
      </w:pPr>
      <w:r>
        <w:rPr>
          <w:rFonts w:ascii="黑体" w:hAnsi="黑体" w:eastAsia="黑体" w:cs="黑体"/>
          <w:spacing w:val="7"/>
          <w:sz w:val="31"/>
          <w:szCs w:val="31"/>
        </w:rPr>
        <w:t xml:space="preserve">第十五条 </w:t>
      </w:r>
      <w:r>
        <w:rPr>
          <w:rFonts w:ascii="FangSong_GB2312" w:hAnsi="FangSong_GB2312" w:eastAsia="FangSong_GB2312" w:cs="FangSong_GB2312"/>
          <w:spacing w:val="7"/>
          <w:sz w:val="31"/>
          <w:szCs w:val="31"/>
        </w:rPr>
        <w:t>本规划中的中小学校，是指普通中小学校、特殊教</w:t>
      </w:r>
      <w:r>
        <w:rPr>
          <w:rFonts w:ascii="FangSong_GB2312" w:hAnsi="FangSong_GB2312" w:eastAsia="FangSong_GB2312" w:cs="FangSong_GB2312"/>
          <w:spacing w:val="6"/>
          <w:sz w:val="31"/>
          <w:szCs w:val="31"/>
        </w:rPr>
        <w:t>育学校、中等职业学校、专门学校。</w:t>
      </w:r>
    </w:p>
    <w:p w14:paraId="16B97237">
      <w:pPr>
        <w:spacing w:line="342" w:lineRule="auto"/>
        <w:rPr>
          <w:rFonts w:ascii="FangSong_GB2312" w:hAnsi="FangSong_GB2312" w:eastAsia="FangSong_GB2312" w:cs="FangSong_GB2312"/>
          <w:sz w:val="31"/>
          <w:szCs w:val="31"/>
        </w:rPr>
        <w:sectPr>
          <w:footerReference r:id="rId12" w:type="default"/>
          <w:pgSz w:w="11906" w:h="16838"/>
          <w:pgMar w:top="1431" w:right="1326" w:bottom="1195" w:left="1415" w:header="0" w:footer="831" w:gutter="0"/>
          <w:cols w:space="720" w:num="1"/>
        </w:sectPr>
      </w:pPr>
    </w:p>
    <w:p w14:paraId="6BBED5F3">
      <w:pPr>
        <w:pStyle w:val="2"/>
        <w:spacing w:line="249" w:lineRule="auto"/>
      </w:pPr>
    </w:p>
    <w:p w14:paraId="28D75C57">
      <w:pPr>
        <w:pStyle w:val="2"/>
        <w:spacing w:line="250" w:lineRule="auto"/>
      </w:pPr>
    </w:p>
    <w:p w14:paraId="7DEF7D4B">
      <w:pPr>
        <w:pStyle w:val="2"/>
        <w:spacing w:line="250" w:lineRule="auto"/>
      </w:pPr>
    </w:p>
    <w:p w14:paraId="4D088CE1">
      <w:pPr>
        <w:spacing w:before="101" w:line="313" w:lineRule="auto"/>
        <w:ind w:left="5" w:right="50" w:firstLine="636"/>
        <w:rPr>
          <w:rFonts w:ascii="FangSong_GB2312" w:hAnsi="FangSong_GB2312" w:eastAsia="FangSong_GB2312" w:cs="FangSong_GB2312"/>
          <w:sz w:val="31"/>
          <w:szCs w:val="31"/>
        </w:rPr>
      </w:pPr>
      <w:r>
        <w:rPr>
          <w:rFonts w:ascii="黑体" w:hAnsi="黑体" w:eastAsia="黑体" w:cs="黑体"/>
          <w:spacing w:val="7"/>
          <w:sz w:val="31"/>
          <w:szCs w:val="31"/>
        </w:rPr>
        <w:t xml:space="preserve">第十六条 </w:t>
      </w:r>
      <w:r>
        <w:rPr>
          <w:rFonts w:ascii="FangSong_GB2312" w:hAnsi="FangSong_GB2312" w:eastAsia="FangSong_GB2312" w:cs="FangSong_GB2312"/>
          <w:spacing w:val="7"/>
          <w:sz w:val="31"/>
          <w:szCs w:val="31"/>
        </w:rPr>
        <w:t>本规划中“幼儿园”是指具备教育局备案登记且审</w:t>
      </w:r>
      <w:r>
        <w:rPr>
          <w:rFonts w:ascii="FangSong_GB2312" w:hAnsi="FangSong_GB2312" w:eastAsia="FangSong_GB2312" w:cs="FangSong_GB2312"/>
          <w:spacing w:val="13"/>
          <w:sz w:val="31"/>
          <w:szCs w:val="31"/>
        </w:rPr>
        <w:t>批发放教育资质的教育机构，包括公办和民办全日制、寄宿制、半日制幼儿园及小学附设的学前班、幼儿班，不包括幼儿看护、</w:t>
      </w:r>
      <w:r>
        <w:rPr>
          <w:rFonts w:ascii="FangSong_GB2312" w:hAnsi="FangSong_GB2312" w:eastAsia="FangSong_GB2312" w:cs="FangSong_GB2312"/>
          <w:spacing w:val="8"/>
          <w:sz w:val="31"/>
          <w:szCs w:val="31"/>
        </w:rPr>
        <w:t>早教、幼儿托管机构、小饭桌、未成年人兴</w:t>
      </w:r>
      <w:r>
        <w:rPr>
          <w:rFonts w:ascii="FangSong_GB2312" w:hAnsi="FangSong_GB2312" w:eastAsia="FangSong_GB2312" w:cs="FangSong_GB2312"/>
          <w:spacing w:val="7"/>
          <w:sz w:val="31"/>
          <w:szCs w:val="31"/>
        </w:rPr>
        <w:t>趣培训教育机构等。</w:t>
      </w:r>
    </w:p>
    <w:p w14:paraId="630CE3D3">
      <w:pPr>
        <w:spacing w:before="208" w:line="303" w:lineRule="auto"/>
        <w:ind w:left="11" w:right="47" w:firstLine="614"/>
        <w:rPr>
          <w:rFonts w:ascii="FangSong_GB2312" w:hAnsi="FangSong_GB2312" w:eastAsia="FangSong_GB2312" w:cs="FangSong_GB2312"/>
          <w:sz w:val="31"/>
          <w:szCs w:val="31"/>
        </w:rPr>
      </w:pPr>
      <w:r>
        <w:rPr>
          <w:rFonts w:ascii="黑体" w:hAnsi="黑体" w:eastAsia="黑体" w:cs="黑体"/>
          <w:spacing w:val="6"/>
          <w:sz w:val="31"/>
          <w:szCs w:val="31"/>
        </w:rPr>
        <w:t xml:space="preserve">第十七条 </w:t>
      </w:r>
      <w:r>
        <w:rPr>
          <w:rFonts w:ascii="FangSong_GB2312" w:hAnsi="FangSong_GB2312" w:eastAsia="FangSong_GB2312" w:cs="FangSong_GB2312"/>
          <w:spacing w:val="6"/>
          <w:sz w:val="31"/>
          <w:szCs w:val="31"/>
        </w:rPr>
        <w:t>本规划中“</w:t>
      </w:r>
      <w:r>
        <w:rPr>
          <w:rFonts w:ascii="FangSong_GB2312" w:hAnsi="FangSong_GB2312" w:eastAsia="FangSong_GB2312" w:cs="FangSong_GB2312"/>
          <w:spacing w:val="-98"/>
          <w:sz w:val="31"/>
          <w:szCs w:val="31"/>
        </w:rPr>
        <w:t xml:space="preserve"> </w:t>
      </w:r>
      <w:r>
        <w:rPr>
          <w:rFonts w:ascii="FangSong_GB2312" w:hAnsi="FangSong_GB2312" w:eastAsia="FangSong_GB2312" w:cs="FangSong_GB2312"/>
          <w:spacing w:val="6"/>
          <w:sz w:val="31"/>
          <w:szCs w:val="31"/>
        </w:rPr>
        <w:t>固定经营场所”是指由砖、木、钢、混</w:t>
      </w:r>
      <w:r>
        <w:rPr>
          <w:rFonts w:ascii="FangSong_GB2312" w:hAnsi="FangSong_GB2312" w:eastAsia="FangSong_GB2312" w:cs="FangSong_GB2312"/>
          <w:spacing w:val="13"/>
          <w:sz w:val="31"/>
          <w:szCs w:val="31"/>
        </w:rPr>
        <w:t>等材料建成的封闭不可移动建筑并取得合法的房产证，且具备实</w:t>
      </w:r>
      <w:r>
        <w:rPr>
          <w:rFonts w:ascii="FangSong_GB2312" w:hAnsi="FangSong_GB2312" w:eastAsia="FangSong_GB2312" w:cs="FangSong_GB2312"/>
          <w:spacing w:val="4"/>
          <w:sz w:val="31"/>
          <w:szCs w:val="31"/>
        </w:rPr>
        <w:t>物商品展示功能的经营场所等。</w:t>
      </w:r>
    </w:p>
    <w:p w14:paraId="42A74D6F">
      <w:pPr>
        <w:spacing w:before="210" w:line="344" w:lineRule="auto"/>
        <w:ind w:left="11" w:right="45" w:firstLine="635"/>
        <w:jc w:val="both"/>
        <w:rPr>
          <w:rFonts w:ascii="FangSong_GB2312" w:hAnsi="FangSong_GB2312" w:eastAsia="FangSong_GB2312" w:cs="FangSong_GB2312"/>
          <w:sz w:val="31"/>
          <w:szCs w:val="31"/>
        </w:rPr>
      </w:pPr>
      <w:r>
        <w:rPr>
          <w:rFonts w:ascii="FangSong_GB2312" w:hAnsi="FangSong_GB2312" w:eastAsia="FangSong_GB2312" w:cs="FangSong_GB2312"/>
          <w:spacing w:val="14"/>
          <w:sz w:val="31"/>
          <w:szCs w:val="31"/>
        </w:rPr>
        <w:t>营业执照注册地址较为模糊的，应当对其注</w:t>
      </w:r>
      <w:r>
        <w:rPr>
          <w:rFonts w:ascii="FangSong_GB2312" w:hAnsi="FangSong_GB2312" w:eastAsia="FangSong_GB2312" w:cs="FangSong_GB2312"/>
          <w:spacing w:val="13"/>
          <w:sz w:val="31"/>
          <w:szCs w:val="31"/>
        </w:rPr>
        <w:t>册地址进行具体明确，经营者取得许可后应当在核定后的经营场所内依法开展经营，如在核定的经营地址之外从事烟草制品零售业务的，属于无</w:t>
      </w:r>
      <w:r>
        <w:rPr>
          <w:rFonts w:ascii="FangSong_GB2312" w:hAnsi="FangSong_GB2312" w:eastAsia="FangSong_GB2312" w:cs="FangSong_GB2312"/>
          <w:spacing w:val="-8"/>
          <w:sz w:val="31"/>
          <w:szCs w:val="31"/>
        </w:rPr>
        <w:t>证经营。</w:t>
      </w:r>
    </w:p>
    <w:p w14:paraId="0C1DBBB9">
      <w:pPr>
        <w:spacing w:before="1" w:line="319" w:lineRule="auto"/>
        <w:ind w:right="47" w:firstLine="642"/>
        <w:rPr>
          <w:rFonts w:ascii="FangSong_GB2312" w:hAnsi="FangSong_GB2312" w:eastAsia="FangSong_GB2312" w:cs="FangSong_GB2312"/>
          <w:sz w:val="31"/>
          <w:szCs w:val="31"/>
        </w:rPr>
      </w:pPr>
      <w:r>
        <w:rPr>
          <w:rFonts w:ascii="黑体" w:hAnsi="黑体" w:eastAsia="黑体" w:cs="黑体"/>
          <w:spacing w:val="7"/>
          <w:sz w:val="31"/>
          <w:szCs w:val="31"/>
        </w:rPr>
        <w:t xml:space="preserve">第十八条 </w:t>
      </w:r>
      <w:r>
        <w:rPr>
          <w:rFonts w:ascii="FangSong_GB2312" w:hAnsi="FangSong_GB2312" w:eastAsia="FangSong_GB2312" w:cs="FangSong_GB2312"/>
          <w:spacing w:val="7"/>
          <w:sz w:val="31"/>
          <w:szCs w:val="31"/>
        </w:rPr>
        <w:t>本规划所称“经营场所与住所不相独立”是指从事</w:t>
      </w:r>
      <w:r>
        <w:rPr>
          <w:rFonts w:ascii="FangSong_GB2312" w:hAnsi="FangSong_GB2312" w:eastAsia="FangSong_GB2312" w:cs="FangSong_GB2312"/>
          <w:spacing w:val="13"/>
          <w:sz w:val="31"/>
          <w:szCs w:val="31"/>
        </w:rPr>
        <w:t>烟草专卖品销售、储存的经营场所不能将生活区与经营区、仓储区从空间上无法分离和断开，在物理特性上无实体墙隔离且无明确的区域界线。如：前后、左右、上下与门相通的隔间、阁楼、</w:t>
      </w:r>
      <w:r>
        <w:rPr>
          <w:rFonts w:ascii="FangSong_GB2312" w:hAnsi="FangSong_GB2312" w:eastAsia="FangSong_GB2312" w:cs="FangSong_GB2312"/>
          <w:spacing w:val="6"/>
          <w:sz w:val="31"/>
          <w:szCs w:val="31"/>
        </w:rPr>
        <w:t>仓库、地下室、房间等，均视其为经营场所。</w:t>
      </w:r>
    </w:p>
    <w:p w14:paraId="062420DC">
      <w:pPr>
        <w:spacing w:before="208" w:line="303" w:lineRule="auto"/>
        <w:ind w:left="14" w:firstLine="627"/>
        <w:rPr>
          <w:rFonts w:ascii="FangSong_GB2312" w:hAnsi="FangSong_GB2312" w:eastAsia="FangSong_GB2312" w:cs="FangSong_GB2312"/>
          <w:sz w:val="31"/>
          <w:szCs w:val="31"/>
        </w:rPr>
      </w:pPr>
      <w:r>
        <w:rPr>
          <w:rFonts w:ascii="黑体" w:hAnsi="黑体" w:eastAsia="黑体" w:cs="黑体"/>
          <w:spacing w:val="7"/>
          <w:sz w:val="31"/>
          <w:szCs w:val="31"/>
        </w:rPr>
        <w:t xml:space="preserve">第十九条 </w:t>
      </w:r>
      <w:r>
        <w:rPr>
          <w:rFonts w:ascii="FangSong_GB2312" w:hAnsi="FangSong_GB2312" w:eastAsia="FangSong_GB2312" w:cs="FangSong_GB2312"/>
          <w:spacing w:val="7"/>
          <w:sz w:val="31"/>
          <w:szCs w:val="31"/>
        </w:rPr>
        <w:t>本规定所称的零售点间距测量标准具体见《满洲里</w:t>
      </w:r>
      <w:r>
        <w:rPr>
          <w:rFonts w:ascii="FangSong_GB2312" w:hAnsi="FangSong_GB2312" w:eastAsia="FangSong_GB2312" w:cs="FangSong_GB2312"/>
          <w:spacing w:val="-5"/>
          <w:sz w:val="31"/>
          <w:szCs w:val="31"/>
        </w:rPr>
        <w:t>市烟草制品零售点现场测量标准》（附件</w:t>
      </w:r>
      <w:r>
        <w:rPr>
          <w:rFonts w:ascii="FangSong_GB2312" w:hAnsi="FangSong_GB2312" w:eastAsia="FangSong_GB2312" w:cs="FangSong_GB2312"/>
          <w:spacing w:val="-51"/>
          <w:sz w:val="31"/>
          <w:szCs w:val="31"/>
        </w:rPr>
        <w:t xml:space="preserve"> </w:t>
      </w:r>
      <w:r>
        <w:rPr>
          <w:rFonts w:ascii="FangSong_GB2312" w:hAnsi="FangSong_GB2312" w:eastAsia="FangSong_GB2312" w:cs="FangSong_GB2312"/>
          <w:spacing w:val="-5"/>
          <w:sz w:val="31"/>
          <w:szCs w:val="31"/>
        </w:rPr>
        <w:t>2）。需进行间</w:t>
      </w:r>
      <w:r>
        <w:rPr>
          <w:rFonts w:ascii="FangSong_GB2312" w:hAnsi="FangSong_GB2312" w:eastAsia="FangSong_GB2312" w:cs="FangSong_GB2312"/>
          <w:spacing w:val="-6"/>
          <w:sz w:val="31"/>
          <w:szCs w:val="31"/>
        </w:rPr>
        <w:t>距测量时，</w:t>
      </w:r>
      <w:r>
        <w:rPr>
          <w:rFonts w:ascii="FangSong_GB2312" w:hAnsi="FangSong_GB2312" w:eastAsia="FangSong_GB2312" w:cs="FangSong_GB2312"/>
          <w:spacing w:val="6"/>
          <w:sz w:val="31"/>
          <w:szCs w:val="31"/>
        </w:rPr>
        <w:t>申请人和烟草专卖执法人员应当共同确认。</w:t>
      </w:r>
    </w:p>
    <w:p w14:paraId="77F97487">
      <w:pPr>
        <w:spacing w:before="207" w:line="284" w:lineRule="auto"/>
        <w:ind w:left="9" w:right="52" w:firstLine="792"/>
        <w:rPr>
          <w:rFonts w:ascii="FangSong_GB2312" w:hAnsi="FangSong_GB2312" w:eastAsia="FangSong_GB2312" w:cs="FangSong_GB2312"/>
          <w:sz w:val="31"/>
          <w:szCs w:val="31"/>
        </w:rPr>
      </w:pPr>
      <w:r>
        <w:rPr>
          <w:rFonts w:ascii="黑体" w:hAnsi="黑体" w:eastAsia="黑体" w:cs="黑体"/>
          <w:spacing w:val="-15"/>
          <w:sz w:val="31"/>
          <w:szCs w:val="31"/>
        </w:rPr>
        <w:t>第二十条</w:t>
      </w:r>
      <w:r>
        <w:rPr>
          <w:rFonts w:ascii="黑体" w:hAnsi="黑体" w:eastAsia="黑体" w:cs="黑体"/>
          <w:spacing w:val="44"/>
          <w:sz w:val="31"/>
          <w:szCs w:val="31"/>
        </w:rPr>
        <w:t xml:space="preserve"> </w:t>
      </w:r>
      <w:r>
        <w:rPr>
          <w:rFonts w:ascii="FangSong_GB2312" w:hAnsi="FangSong_GB2312" w:eastAsia="FangSong_GB2312" w:cs="FangSong_GB2312"/>
          <w:spacing w:val="-15"/>
          <w:sz w:val="31"/>
          <w:szCs w:val="31"/>
        </w:rPr>
        <w:t>本规划中的“</w:t>
      </w:r>
      <w:r>
        <w:rPr>
          <w:rFonts w:ascii="FangSong_GB2312" w:hAnsi="FangSong_GB2312" w:eastAsia="FangSong_GB2312" w:cs="FangSong_GB2312"/>
          <w:spacing w:val="-99"/>
          <w:sz w:val="31"/>
          <w:szCs w:val="31"/>
        </w:rPr>
        <w:t xml:space="preserve"> </w:t>
      </w:r>
      <w:r>
        <w:rPr>
          <w:rFonts w:ascii="FangSong_GB2312" w:hAnsi="FangSong_GB2312" w:eastAsia="FangSong_GB2312" w:cs="FangSong_GB2312"/>
          <w:spacing w:val="-15"/>
          <w:sz w:val="31"/>
          <w:szCs w:val="31"/>
        </w:rPr>
        <w:t>以上”“</w:t>
      </w:r>
      <w:r>
        <w:rPr>
          <w:rFonts w:ascii="FangSong_GB2312" w:hAnsi="FangSong_GB2312" w:eastAsia="FangSong_GB2312" w:cs="FangSong_GB2312"/>
          <w:spacing w:val="-121"/>
          <w:sz w:val="31"/>
          <w:szCs w:val="31"/>
        </w:rPr>
        <w:t xml:space="preserve"> </w:t>
      </w:r>
      <w:r>
        <w:rPr>
          <w:rFonts w:ascii="FangSong_GB2312" w:hAnsi="FangSong_GB2312" w:eastAsia="FangSong_GB2312" w:cs="FangSong_GB2312"/>
          <w:spacing w:val="-15"/>
          <w:sz w:val="31"/>
          <w:szCs w:val="31"/>
        </w:rPr>
        <w:t>以下”“少于”“超过”含本</w:t>
      </w:r>
      <w:r>
        <w:rPr>
          <w:rFonts w:ascii="FangSong_GB2312" w:hAnsi="FangSong_GB2312" w:eastAsia="FangSong_GB2312" w:cs="FangSong_GB2312"/>
          <w:spacing w:val="-19"/>
          <w:sz w:val="31"/>
          <w:szCs w:val="31"/>
        </w:rPr>
        <w:t>数。</w:t>
      </w:r>
    </w:p>
    <w:p w14:paraId="5E923D30">
      <w:pPr>
        <w:spacing w:line="284" w:lineRule="auto"/>
        <w:rPr>
          <w:rFonts w:ascii="FangSong_GB2312" w:hAnsi="FangSong_GB2312" w:eastAsia="FangSong_GB2312" w:cs="FangSong_GB2312"/>
          <w:sz w:val="31"/>
          <w:szCs w:val="31"/>
        </w:rPr>
        <w:sectPr>
          <w:footerReference r:id="rId13" w:type="default"/>
          <w:pgSz w:w="11906" w:h="16838"/>
          <w:pgMar w:top="1431" w:right="1367" w:bottom="1195" w:left="1427" w:header="0" w:footer="831" w:gutter="0"/>
          <w:cols w:space="720" w:num="1"/>
        </w:sectPr>
      </w:pPr>
    </w:p>
    <w:p w14:paraId="545AC3D3">
      <w:pPr>
        <w:pStyle w:val="2"/>
        <w:spacing w:line="250" w:lineRule="auto"/>
      </w:pPr>
    </w:p>
    <w:p w14:paraId="7924857C">
      <w:pPr>
        <w:pStyle w:val="2"/>
        <w:spacing w:line="250" w:lineRule="auto"/>
      </w:pPr>
    </w:p>
    <w:p w14:paraId="08DB9D76">
      <w:pPr>
        <w:pStyle w:val="2"/>
        <w:spacing w:line="251" w:lineRule="auto"/>
      </w:pPr>
    </w:p>
    <w:p w14:paraId="52B40D67">
      <w:pPr>
        <w:spacing w:before="101" w:line="282" w:lineRule="auto"/>
        <w:ind w:left="20" w:right="30" w:firstLine="633"/>
        <w:rPr>
          <w:rFonts w:ascii="FangSong_GB2312" w:hAnsi="FangSong_GB2312" w:eastAsia="FangSong_GB2312" w:cs="FangSong_GB2312"/>
          <w:sz w:val="31"/>
          <w:szCs w:val="31"/>
        </w:rPr>
      </w:pPr>
      <w:r>
        <w:rPr>
          <w:rFonts w:ascii="黑体" w:hAnsi="黑体" w:eastAsia="黑体" w:cs="黑体"/>
          <w:spacing w:val="6"/>
          <w:sz w:val="31"/>
          <w:szCs w:val="31"/>
        </w:rPr>
        <w:t xml:space="preserve">第二十一条 </w:t>
      </w:r>
      <w:r>
        <w:rPr>
          <w:rFonts w:ascii="FangSong_GB2312" w:hAnsi="FangSong_GB2312" w:eastAsia="FangSong_GB2312" w:cs="FangSong_GB2312"/>
          <w:spacing w:val="6"/>
          <w:sz w:val="31"/>
          <w:szCs w:val="31"/>
        </w:rPr>
        <w:t>本规划实施过程中法律法规和政策另有规定的，</w:t>
      </w:r>
      <w:r>
        <w:rPr>
          <w:rFonts w:ascii="FangSong_GB2312" w:hAnsi="FangSong_GB2312" w:eastAsia="FangSong_GB2312" w:cs="FangSong_GB2312"/>
          <w:spacing w:val="-6"/>
          <w:sz w:val="31"/>
          <w:szCs w:val="31"/>
        </w:rPr>
        <w:t>从其规定。</w:t>
      </w:r>
    </w:p>
    <w:p w14:paraId="578DF98D">
      <w:pPr>
        <w:spacing w:before="203" w:line="224" w:lineRule="auto"/>
        <w:ind w:left="653"/>
        <w:rPr>
          <w:rFonts w:ascii="FangSong_GB2312" w:hAnsi="FangSong_GB2312" w:eastAsia="FangSong_GB2312" w:cs="FangSong_GB2312"/>
          <w:sz w:val="31"/>
          <w:szCs w:val="31"/>
        </w:rPr>
      </w:pPr>
      <w:r>
        <w:rPr>
          <w:rFonts w:ascii="黑体" w:hAnsi="黑体" w:eastAsia="黑体" w:cs="黑体"/>
          <w:spacing w:val="8"/>
          <w:sz w:val="31"/>
          <w:szCs w:val="31"/>
        </w:rPr>
        <w:t xml:space="preserve">第二十二条 </w:t>
      </w:r>
      <w:r>
        <w:rPr>
          <w:rFonts w:ascii="FangSong_GB2312" w:hAnsi="FangSong_GB2312" w:eastAsia="FangSong_GB2312" w:cs="FangSong_GB2312"/>
          <w:spacing w:val="8"/>
          <w:sz w:val="31"/>
          <w:szCs w:val="31"/>
        </w:rPr>
        <w:t>本规划由满洲里市烟草专卖局负责解释。</w:t>
      </w:r>
    </w:p>
    <w:p w14:paraId="44927FCD">
      <w:pPr>
        <w:spacing w:before="205" w:line="305" w:lineRule="auto"/>
        <w:ind w:left="16" w:firstLine="636"/>
        <w:rPr>
          <w:rFonts w:ascii="FangSong_GB2312" w:hAnsi="FangSong_GB2312" w:eastAsia="FangSong_GB2312" w:cs="FangSong_GB2312"/>
          <w:sz w:val="31"/>
          <w:szCs w:val="31"/>
        </w:rPr>
      </w:pPr>
      <w:r>
        <w:rPr>
          <w:rFonts w:ascii="黑体" w:hAnsi="黑体" w:eastAsia="黑体" w:cs="黑体"/>
          <w:spacing w:val="8"/>
          <w:sz w:val="31"/>
          <w:szCs w:val="31"/>
        </w:rPr>
        <w:t xml:space="preserve">第二十三条 </w:t>
      </w:r>
      <w:r>
        <w:rPr>
          <w:rFonts w:ascii="FangSong_GB2312" w:hAnsi="FangSong_GB2312" w:eastAsia="FangSong_GB2312" w:cs="FangSong_GB2312"/>
          <w:spacing w:val="8"/>
          <w:sz w:val="31"/>
          <w:szCs w:val="31"/>
        </w:rPr>
        <w:t>本规划自公告之日起</w:t>
      </w:r>
      <w:r>
        <w:rPr>
          <w:rFonts w:ascii="FangSong_GB2312" w:hAnsi="FangSong_GB2312" w:eastAsia="FangSong_GB2312" w:cs="FangSong_GB2312"/>
          <w:spacing w:val="-21"/>
          <w:sz w:val="31"/>
          <w:szCs w:val="31"/>
        </w:rPr>
        <w:t xml:space="preserve"> </w:t>
      </w:r>
      <w:r>
        <w:rPr>
          <w:rFonts w:ascii="FangSong_GB2312" w:hAnsi="FangSong_GB2312" w:eastAsia="FangSong_GB2312" w:cs="FangSong_GB2312"/>
          <w:spacing w:val="8"/>
          <w:sz w:val="31"/>
          <w:szCs w:val="31"/>
        </w:rPr>
        <w:t>30 日后施行。原《满洲里</w:t>
      </w:r>
      <w:r>
        <w:rPr>
          <w:rFonts w:ascii="FangSong_GB2312" w:hAnsi="FangSong_GB2312" w:eastAsia="FangSong_GB2312" w:cs="FangSong_GB2312"/>
          <w:spacing w:val="-1"/>
          <w:sz w:val="31"/>
          <w:szCs w:val="31"/>
        </w:rPr>
        <w:t>市烟草制品零售点合理布局规划》（满烟专</w:t>
      </w:r>
      <w:r>
        <w:rPr>
          <w:rFonts w:ascii="FangSong_GB2312" w:hAnsi="FangSong_GB2312" w:eastAsia="FangSong_GB2312" w:cs="FangSong_GB2312"/>
          <w:spacing w:val="-2"/>
          <w:sz w:val="31"/>
          <w:szCs w:val="31"/>
        </w:rPr>
        <w:t>〔2023〕11</w:t>
      </w:r>
      <w:r>
        <w:rPr>
          <w:rFonts w:ascii="FangSong_GB2312" w:hAnsi="FangSong_GB2312" w:eastAsia="FangSong_GB2312" w:cs="FangSong_GB2312"/>
          <w:spacing w:val="-46"/>
          <w:sz w:val="31"/>
          <w:szCs w:val="31"/>
        </w:rPr>
        <w:t xml:space="preserve"> </w:t>
      </w:r>
      <w:r>
        <w:rPr>
          <w:rFonts w:ascii="FangSong_GB2312" w:hAnsi="FangSong_GB2312" w:eastAsia="FangSong_GB2312" w:cs="FangSong_GB2312"/>
          <w:spacing w:val="-2"/>
          <w:sz w:val="31"/>
          <w:szCs w:val="31"/>
        </w:rPr>
        <w:t>号）同时废</w:t>
      </w:r>
      <w:r>
        <w:rPr>
          <w:rFonts w:ascii="FangSong_GB2312" w:hAnsi="FangSong_GB2312" w:eastAsia="FangSong_GB2312" w:cs="FangSong_GB2312"/>
          <w:spacing w:val="-17"/>
          <w:sz w:val="31"/>
          <w:szCs w:val="31"/>
        </w:rPr>
        <w:t>止。</w:t>
      </w:r>
    </w:p>
    <w:p w14:paraId="4F86E5C9">
      <w:pPr>
        <w:pStyle w:val="2"/>
        <w:spacing w:line="333" w:lineRule="auto"/>
      </w:pPr>
    </w:p>
    <w:p w14:paraId="016A3688">
      <w:pPr>
        <w:pStyle w:val="2"/>
        <w:spacing w:line="333" w:lineRule="auto"/>
      </w:pPr>
    </w:p>
    <w:p w14:paraId="583B1B35">
      <w:pPr>
        <w:spacing w:before="101" w:line="221" w:lineRule="auto"/>
        <w:ind w:left="676"/>
        <w:rPr>
          <w:rFonts w:ascii="FangSong_GB2312" w:hAnsi="FangSong_GB2312" w:eastAsia="FangSong_GB2312" w:cs="FangSong_GB2312"/>
          <w:sz w:val="31"/>
          <w:szCs w:val="31"/>
        </w:rPr>
      </w:pPr>
      <w:r>
        <w:rPr>
          <w:rFonts w:ascii="FangSong_GB2312" w:hAnsi="FangSong_GB2312" w:eastAsia="FangSong_GB2312" w:cs="FangSong_GB2312"/>
          <w:spacing w:val="6"/>
          <w:sz w:val="31"/>
          <w:szCs w:val="31"/>
        </w:rPr>
        <w:t>附件：1</w:t>
      </w:r>
      <w:r>
        <w:rPr>
          <w:rFonts w:ascii="FangSong_GB2312" w:hAnsi="FangSong_GB2312" w:eastAsia="FangSong_GB2312" w:cs="FangSong_GB2312"/>
          <w:spacing w:val="-30"/>
          <w:sz w:val="31"/>
          <w:szCs w:val="31"/>
        </w:rPr>
        <w:t xml:space="preserve"> </w:t>
      </w:r>
      <w:r>
        <w:rPr>
          <w:rFonts w:ascii="FangSong_GB2312" w:hAnsi="FangSong_GB2312" w:eastAsia="FangSong_GB2312" w:cs="FangSong_GB2312"/>
          <w:spacing w:val="6"/>
          <w:sz w:val="31"/>
          <w:szCs w:val="31"/>
        </w:rPr>
        <w:t>满洲里市烟草制品零售点合理布局规划表</w:t>
      </w:r>
    </w:p>
    <w:p w14:paraId="456A971B">
      <w:pPr>
        <w:spacing w:before="207" w:line="221" w:lineRule="auto"/>
        <w:ind w:left="1625"/>
        <w:rPr>
          <w:rFonts w:ascii="FangSong_GB2312" w:hAnsi="FangSong_GB2312" w:eastAsia="FangSong_GB2312" w:cs="FangSong_GB2312"/>
          <w:sz w:val="31"/>
          <w:szCs w:val="31"/>
        </w:rPr>
      </w:pPr>
      <w:r>
        <w:rPr>
          <w:rFonts w:ascii="FangSong_GB2312" w:hAnsi="FangSong_GB2312" w:eastAsia="FangSong_GB2312" w:cs="FangSong_GB2312"/>
          <w:spacing w:val="7"/>
          <w:sz w:val="31"/>
          <w:szCs w:val="31"/>
        </w:rPr>
        <w:t>2.满洲里市烟草制品零售点现场测量标准</w:t>
      </w:r>
    </w:p>
    <w:p w14:paraId="2365D659">
      <w:pPr>
        <w:spacing w:line="221" w:lineRule="auto"/>
        <w:rPr>
          <w:rFonts w:ascii="FangSong_GB2312" w:hAnsi="FangSong_GB2312" w:eastAsia="FangSong_GB2312" w:cs="FangSong_GB2312"/>
          <w:sz w:val="31"/>
          <w:szCs w:val="31"/>
        </w:rPr>
        <w:sectPr>
          <w:footerReference r:id="rId14" w:type="default"/>
          <w:pgSz w:w="11906" w:h="16838"/>
          <w:pgMar w:top="1431" w:right="1416" w:bottom="1195" w:left="1415" w:header="0" w:footer="831" w:gutter="0"/>
          <w:cols w:space="720" w:num="1"/>
        </w:sectPr>
      </w:pPr>
    </w:p>
    <w:p w14:paraId="4E3B755C">
      <w:pPr>
        <w:pStyle w:val="2"/>
        <w:spacing w:line="245" w:lineRule="auto"/>
      </w:pPr>
    </w:p>
    <w:p w14:paraId="1164BF90">
      <w:pPr>
        <w:pStyle w:val="2"/>
        <w:spacing w:line="245" w:lineRule="auto"/>
      </w:pPr>
    </w:p>
    <w:p w14:paraId="1611E6B8">
      <w:pPr>
        <w:pStyle w:val="2"/>
        <w:spacing w:line="245" w:lineRule="auto"/>
      </w:pPr>
    </w:p>
    <w:p w14:paraId="1E2B85A6">
      <w:pPr>
        <w:spacing w:before="101" w:line="230" w:lineRule="auto"/>
        <w:ind w:left="48"/>
        <w:rPr>
          <w:rFonts w:ascii="黑体" w:hAnsi="黑体" w:eastAsia="黑体" w:cs="黑体"/>
          <w:sz w:val="31"/>
          <w:szCs w:val="31"/>
        </w:rPr>
      </w:pPr>
      <w:r>
        <w:rPr>
          <w:rFonts w:ascii="黑体" w:hAnsi="黑体" w:eastAsia="黑体" w:cs="黑体"/>
          <w:spacing w:val="-4"/>
          <w:sz w:val="31"/>
          <w:szCs w:val="31"/>
        </w:rPr>
        <w:t>附件</w:t>
      </w:r>
      <w:r>
        <w:rPr>
          <w:rFonts w:ascii="黑体" w:hAnsi="黑体" w:eastAsia="黑体" w:cs="黑体"/>
          <w:spacing w:val="-45"/>
          <w:sz w:val="31"/>
          <w:szCs w:val="31"/>
        </w:rPr>
        <w:t xml:space="preserve"> </w:t>
      </w:r>
      <w:r>
        <w:rPr>
          <w:rFonts w:ascii="黑体" w:hAnsi="黑体" w:eastAsia="黑体" w:cs="黑体"/>
          <w:spacing w:val="-4"/>
          <w:sz w:val="31"/>
          <w:szCs w:val="31"/>
        </w:rPr>
        <w:t>1</w:t>
      </w:r>
    </w:p>
    <w:p w14:paraId="13B51D84">
      <w:pPr>
        <w:pStyle w:val="2"/>
        <w:spacing w:line="274" w:lineRule="auto"/>
      </w:pPr>
    </w:p>
    <w:p w14:paraId="3814CDA5">
      <w:pPr>
        <w:pStyle w:val="2"/>
        <w:spacing w:line="274" w:lineRule="auto"/>
      </w:pPr>
    </w:p>
    <w:p w14:paraId="14C7A0FB">
      <w:pPr>
        <w:spacing w:before="154" w:line="236" w:lineRule="auto"/>
        <w:ind w:left="961"/>
        <w:rPr>
          <w:rFonts w:ascii="方正小标宋简体" w:hAnsi="方正小标宋简体" w:eastAsia="方正小标宋简体" w:cs="方正小标宋简体"/>
          <w:sz w:val="40"/>
          <w:szCs w:val="40"/>
        </w:rPr>
      </w:pPr>
      <w:r>
        <w:rPr>
          <w:rFonts w:ascii="方正小标宋简体" w:hAnsi="方正小标宋简体" w:eastAsia="方正小标宋简体" w:cs="方正小标宋简体"/>
          <w:spacing w:val="-1"/>
          <w:sz w:val="40"/>
          <w:szCs w:val="40"/>
        </w:rPr>
        <w:t>满洲里市烟草制品零售点合理布局规划表</w:t>
      </w:r>
    </w:p>
    <w:p w14:paraId="49365197">
      <w:pPr>
        <w:spacing w:before="5"/>
      </w:pPr>
    </w:p>
    <w:p w14:paraId="0F51469A">
      <w:pPr>
        <w:spacing w:before="4"/>
      </w:pPr>
    </w:p>
    <w:tbl>
      <w:tblPr>
        <w:tblStyle w:val="5"/>
        <w:tblW w:w="9042" w:type="dxa"/>
        <w:tblInd w:w="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52"/>
        <w:gridCol w:w="3643"/>
        <w:gridCol w:w="3647"/>
      </w:tblGrid>
      <w:tr w14:paraId="4C0D3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1752" w:type="dxa"/>
            <w:tcBorders>
              <w:top w:val="single" w:color="000000" w:sz="2" w:space="0"/>
              <w:left w:val="single" w:color="000000" w:sz="2" w:space="0"/>
            </w:tcBorders>
            <w:vAlign w:val="top"/>
          </w:tcPr>
          <w:p w14:paraId="16849EE8">
            <w:pPr>
              <w:spacing w:before="315" w:line="222" w:lineRule="auto"/>
              <w:ind w:left="324"/>
              <w:rPr>
                <w:rFonts w:ascii="黑体" w:hAnsi="黑体" w:eastAsia="黑体" w:cs="黑体"/>
                <w:sz w:val="28"/>
                <w:szCs w:val="28"/>
              </w:rPr>
            </w:pPr>
            <w:r>
              <w:rPr>
                <w:rFonts w:ascii="黑体" w:hAnsi="黑体" w:eastAsia="黑体" w:cs="黑体"/>
                <w:spacing w:val="-3"/>
                <w:sz w:val="28"/>
                <w:szCs w:val="28"/>
              </w:rPr>
              <w:t>行政区域</w:t>
            </w:r>
          </w:p>
        </w:tc>
        <w:tc>
          <w:tcPr>
            <w:tcW w:w="3643" w:type="dxa"/>
            <w:tcBorders>
              <w:top w:val="single" w:color="000000" w:sz="2" w:space="0"/>
            </w:tcBorders>
            <w:vAlign w:val="top"/>
          </w:tcPr>
          <w:p w14:paraId="1A731CB7">
            <w:pPr>
              <w:spacing w:before="315" w:line="223" w:lineRule="auto"/>
              <w:ind w:left="1279"/>
              <w:rPr>
                <w:rFonts w:ascii="黑体" w:hAnsi="黑体" w:eastAsia="黑体" w:cs="黑体"/>
                <w:sz w:val="28"/>
                <w:szCs w:val="28"/>
              </w:rPr>
            </w:pPr>
            <w:r>
              <w:rPr>
                <w:rFonts w:ascii="黑体" w:hAnsi="黑体" w:eastAsia="黑体" w:cs="黑体"/>
                <w:spacing w:val="-7"/>
                <w:sz w:val="28"/>
                <w:szCs w:val="28"/>
              </w:rPr>
              <w:t>区域单元</w:t>
            </w:r>
          </w:p>
        </w:tc>
        <w:tc>
          <w:tcPr>
            <w:tcW w:w="3647" w:type="dxa"/>
            <w:tcBorders>
              <w:top w:val="single" w:color="000000" w:sz="2" w:space="0"/>
              <w:right w:val="single" w:color="000000" w:sz="2" w:space="0"/>
            </w:tcBorders>
            <w:vAlign w:val="top"/>
          </w:tcPr>
          <w:p w14:paraId="0343471C">
            <w:pPr>
              <w:spacing w:before="315" w:line="223" w:lineRule="auto"/>
              <w:ind w:left="843"/>
              <w:rPr>
                <w:rFonts w:ascii="黑体" w:hAnsi="黑体" w:eastAsia="黑体" w:cs="黑体"/>
                <w:sz w:val="28"/>
                <w:szCs w:val="28"/>
              </w:rPr>
            </w:pPr>
            <w:r>
              <w:rPr>
                <w:rFonts w:ascii="黑体" w:hAnsi="黑体" w:eastAsia="黑体" w:cs="黑体"/>
                <w:spacing w:val="-6"/>
                <w:sz w:val="28"/>
                <w:szCs w:val="28"/>
              </w:rPr>
              <w:t>规划数量（户）</w:t>
            </w:r>
          </w:p>
        </w:tc>
      </w:tr>
      <w:tr w14:paraId="7221A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8" w:hRule="atLeast"/>
        </w:trPr>
        <w:tc>
          <w:tcPr>
            <w:tcW w:w="1752" w:type="dxa"/>
            <w:vMerge w:val="restart"/>
            <w:tcBorders>
              <w:left w:val="single" w:color="000000" w:sz="2" w:space="0"/>
              <w:bottom w:val="nil"/>
            </w:tcBorders>
            <w:vAlign w:val="top"/>
          </w:tcPr>
          <w:p w14:paraId="3368294E">
            <w:pPr>
              <w:spacing w:line="246" w:lineRule="auto"/>
              <w:rPr>
                <w:rFonts w:ascii="Arial"/>
                <w:sz w:val="21"/>
              </w:rPr>
            </w:pPr>
          </w:p>
          <w:p w14:paraId="78C24515">
            <w:pPr>
              <w:spacing w:line="246" w:lineRule="auto"/>
              <w:rPr>
                <w:rFonts w:ascii="Arial"/>
                <w:sz w:val="21"/>
              </w:rPr>
            </w:pPr>
          </w:p>
          <w:p w14:paraId="1DD218BB">
            <w:pPr>
              <w:spacing w:line="246" w:lineRule="auto"/>
              <w:rPr>
                <w:rFonts w:ascii="Arial"/>
                <w:sz w:val="21"/>
              </w:rPr>
            </w:pPr>
          </w:p>
          <w:p w14:paraId="4CE15405">
            <w:pPr>
              <w:spacing w:line="246" w:lineRule="auto"/>
              <w:rPr>
                <w:rFonts w:ascii="Arial"/>
                <w:sz w:val="21"/>
              </w:rPr>
            </w:pPr>
          </w:p>
          <w:p w14:paraId="20A0889B">
            <w:pPr>
              <w:spacing w:line="247" w:lineRule="auto"/>
              <w:rPr>
                <w:rFonts w:ascii="Arial"/>
                <w:sz w:val="21"/>
              </w:rPr>
            </w:pPr>
          </w:p>
          <w:p w14:paraId="3F873161">
            <w:pPr>
              <w:spacing w:line="247" w:lineRule="auto"/>
              <w:rPr>
                <w:rFonts w:ascii="Arial"/>
                <w:sz w:val="21"/>
              </w:rPr>
            </w:pPr>
          </w:p>
          <w:p w14:paraId="0FC165BC">
            <w:pPr>
              <w:spacing w:before="121" w:line="178" w:lineRule="auto"/>
              <w:ind w:left="328"/>
              <w:rPr>
                <w:rFonts w:ascii="微软雅黑" w:hAnsi="微软雅黑" w:eastAsia="微软雅黑" w:cs="微软雅黑"/>
                <w:sz w:val="28"/>
                <w:szCs w:val="28"/>
              </w:rPr>
            </w:pPr>
            <w:r>
              <w:rPr>
                <w:rFonts w:ascii="微软雅黑" w:hAnsi="微软雅黑" w:eastAsia="微软雅黑" w:cs="微软雅黑"/>
                <w:spacing w:val="-4"/>
                <w:sz w:val="28"/>
                <w:szCs w:val="28"/>
              </w:rPr>
              <w:t>满洲里市</w:t>
            </w:r>
          </w:p>
        </w:tc>
        <w:tc>
          <w:tcPr>
            <w:tcW w:w="3643" w:type="dxa"/>
            <w:vAlign w:val="top"/>
          </w:tcPr>
          <w:p w14:paraId="40262852">
            <w:pPr>
              <w:spacing w:before="194" w:line="180" w:lineRule="auto"/>
              <w:ind w:left="1269"/>
              <w:rPr>
                <w:rFonts w:ascii="微软雅黑" w:hAnsi="微软雅黑" w:eastAsia="微软雅黑" w:cs="微软雅黑"/>
                <w:sz w:val="28"/>
                <w:szCs w:val="28"/>
              </w:rPr>
            </w:pPr>
            <w:r>
              <w:rPr>
                <w:rFonts w:ascii="微软雅黑" w:hAnsi="微软雅黑" w:eastAsia="微软雅黑" w:cs="微软雅黑"/>
                <w:spacing w:val="-4"/>
                <w:sz w:val="28"/>
                <w:szCs w:val="28"/>
              </w:rPr>
              <w:t>东山街道</w:t>
            </w:r>
          </w:p>
        </w:tc>
        <w:tc>
          <w:tcPr>
            <w:tcW w:w="3647" w:type="dxa"/>
            <w:tcBorders>
              <w:right w:val="single" w:color="000000" w:sz="2" w:space="0"/>
            </w:tcBorders>
            <w:vAlign w:val="top"/>
          </w:tcPr>
          <w:p w14:paraId="707B4213">
            <w:pPr>
              <w:spacing w:before="199"/>
              <w:ind w:left="1636"/>
              <w:rPr>
                <w:rFonts w:ascii="宋体" w:hAnsi="宋体" w:eastAsia="宋体" w:cs="宋体"/>
                <w:sz w:val="28"/>
                <w:szCs w:val="28"/>
              </w:rPr>
            </w:pPr>
            <w:r>
              <w:rPr>
                <w:rFonts w:ascii="宋体" w:hAnsi="宋体" w:eastAsia="宋体" w:cs="宋体"/>
                <w:spacing w:val="-11"/>
                <w:sz w:val="28"/>
                <w:szCs w:val="28"/>
              </w:rPr>
              <w:t>173</w:t>
            </w:r>
          </w:p>
        </w:tc>
      </w:tr>
      <w:tr w14:paraId="28EF9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8" w:hRule="atLeast"/>
        </w:trPr>
        <w:tc>
          <w:tcPr>
            <w:tcW w:w="1752" w:type="dxa"/>
            <w:vMerge w:val="continue"/>
            <w:tcBorders>
              <w:top w:val="nil"/>
              <w:left w:val="single" w:color="000000" w:sz="2" w:space="0"/>
              <w:bottom w:val="nil"/>
            </w:tcBorders>
            <w:vAlign w:val="top"/>
          </w:tcPr>
          <w:p w14:paraId="1D6DABDC">
            <w:pPr>
              <w:rPr>
                <w:rFonts w:ascii="Arial"/>
                <w:sz w:val="21"/>
              </w:rPr>
            </w:pPr>
          </w:p>
        </w:tc>
        <w:tc>
          <w:tcPr>
            <w:tcW w:w="3643" w:type="dxa"/>
            <w:vAlign w:val="top"/>
          </w:tcPr>
          <w:p w14:paraId="031E33C1">
            <w:pPr>
              <w:spacing w:before="201" w:line="178" w:lineRule="auto"/>
              <w:ind w:left="1260"/>
              <w:rPr>
                <w:rFonts w:ascii="微软雅黑" w:hAnsi="微软雅黑" w:eastAsia="微软雅黑" w:cs="微软雅黑"/>
                <w:sz w:val="28"/>
                <w:szCs w:val="28"/>
              </w:rPr>
            </w:pPr>
            <w:r>
              <w:rPr>
                <w:rFonts w:ascii="微软雅黑" w:hAnsi="微软雅黑" w:eastAsia="微软雅黑" w:cs="微软雅黑"/>
                <w:spacing w:val="-2"/>
                <w:sz w:val="28"/>
                <w:szCs w:val="28"/>
              </w:rPr>
              <w:t>北区街道</w:t>
            </w:r>
          </w:p>
        </w:tc>
        <w:tc>
          <w:tcPr>
            <w:tcW w:w="3647" w:type="dxa"/>
            <w:tcBorders>
              <w:right w:val="single" w:color="000000" w:sz="2" w:space="0"/>
            </w:tcBorders>
            <w:vAlign w:val="top"/>
          </w:tcPr>
          <w:p w14:paraId="7B3B5085">
            <w:pPr>
              <w:spacing w:before="202"/>
              <w:ind w:left="1636"/>
              <w:rPr>
                <w:rFonts w:ascii="宋体" w:hAnsi="宋体" w:eastAsia="宋体" w:cs="宋体"/>
                <w:sz w:val="28"/>
                <w:szCs w:val="28"/>
              </w:rPr>
            </w:pPr>
            <w:r>
              <w:rPr>
                <w:rFonts w:ascii="宋体" w:hAnsi="宋体" w:eastAsia="宋体" w:cs="宋体"/>
                <w:spacing w:val="-11"/>
                <w:sz w:val="28"/>
                <w:szCs w:val="28"/>
              </w:rPr>
              <w:t>189</w:t>
            </w:r>
          </w:p>
        </w:tc>
      </w:tr>
      <w:tr w14:paraId="4B805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7" w:hRule="atLeast"/>
        </w:trPr>
        <w:tc>
          <w:tcPr>
            <w:tcW w:w="1752" w:type="dxa"/>
            <w:vMerge w:val="continue"/>
            <w:tcBorders>
              <w:top w:val="nil"/>
              <w:left w:val="single" w:color="000000" w:sz="2" w:space="0"/>
              <w:bottom w:val="nil"/>
            </w:tcBorders>
            <w:vAlign w:val="top"/>
          </w:tcPr>
          <w:p w14:paraId="6F7CC631">
            <w:pPr>
              <w:rPr>
                <w:rFonts w:ascii="Arial"/>
                <w:sz w:val="21"/>
              </w:rPr>
            </w:pPr>
          </w:p>
        </w:tc>
        <w:tc>
          <w:tcPr>
            <w:tcW w:w="3643" w:type="dxa"/>
            <w:vAlign w:val="top"/>
          </w:tcPr>
          <w:p w14:paraId="5B5C4B39">
            <w:pPr>
              <w:spacing w:before="203" w:line="177" w:lineRule="auto"/>
              <w:ind w:left="1266"/>
              <w:rPr>
                <w:rFonts w:ascii="微软雅黑" w:hAnsi="微软雅黑" w:eastAsia="微软雅黑" w:cs="微软雅黑"/>
                <w:sz w:val="28"/>
                <w:szCs w:val="28"/>
              </w:rPr>
            </w:pPr>
            <w:r>
              <w:rPr>
                <w:rFonts w:ascii="微软雅黑" w:hAnsi="微软雅黑" w:eastAsia="微软雅黑" w:cs="微软雅黑"/>
                <w:spacing w:val="-4"/>
                <w:sz w:val="28"/>
                <w:szCs w:val="28"/>
              </w:rPr>
              <w:t>兴华街道</w:t>
            </w:r>
          </w:p>
        </w:tc>
        <w:tc>
          <w:tcPr>
            <w:tcW w:w="3647" w:type="dxa"/>
            <w:tcBorders>
              <w:right w:val="single" w:color="000000" w:sz="2" w:space="0"/>
            </w:tcBorders>
            <w:vAlign w:val="top"/>
          </w:tcPr>
          <w:p w14:paraId="3E218778">
            <w:pPr>
              <w:spacing w:before="204"/>
              <w:ind w:left="1636"/>
              <w:rPr>
                <w:rFonts w:ascii="宋体" w:hAnsi="宋体" w:eastAsia="宋体" w:cs="宋体"/>
                <w:sz w:val="28"/>
                <w:szCs w:val="28"/>
              </w:rPr>
            </w:pPr>
            <w:r>
              <w:rPr>
                <w:rFonts w:ascii="宋体" w:hAnsi="宋体" w:eastAsia="宋体" w:cs="宋体"/>
                <w:spacing w:val="-11"/>
                <w:sz w:val="28"/>
                <w:szCs w:val="28"/>
              </w:rPr>
              <w:t>119</w:t>
            </w:r>
          </w:p>
        </w:tc>
      </w:tr>
      <w:tr w14:paraId="283B4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8" w:hRule="atLeast"/>
        </w:trPr>
        <w:tc>
          <w:tcPr>
            <w:tcW w:w="1752" w:type="dxa"/>
            <w:vMerge w:val="continue"/>
            <w:tcBorders>
              <w:top w:val="nil"/>
              <w:left w:val="single" w:color="000000" w:sz="2" w:space="0"/>
              <w:bottom w:val="nil"/>
            </w:tcBorders>
            <w:vAlign w:val="top"/>
          </w:tcPr>
          <w:p w14:paraId="3697A85C">
            <w:pPr>
              <w:rPr>
                <w:rFonts w:ascii="Arial"/>
                <w:sz w:val="21"/>
              </w:rPr>
            </w:pPr>
          </w:p>
        </w:tc>
        <w:tc>
          <w:tcPr>
            <w:tcW w:w="3643" w:type="dxa"/>
            <w:vAlign w:val="top"/>
          </w:tcPr>
          <w:p w14:paraId="67AB2DC2">
            <w:pPr>
              <w:spacing w:before="206" w:line="178" w:lineRule="auto"/>
              <w:ind w:left="1269"/>
              <w:rPr>
                <w:rFonts w:ascii="微软雅黑" w:hAnsi="微软雅黑" w:eastAsia="微软雅黑" w:cs="微软雅黑"/>
                <w:sz w:val="28"/>
                <w:szCs w:val="28"/>
              </w:rPr>
            </w:pPr>
            <w:r>
              <w:rPr>
                <w:rFonts w:ascii="微软雅黑" w:hAnsi="微软雅黑" w:eastAsia="微软雅黑" w:cs="微软雅黑"/>
                <w:spacing w:val="-4"/>
                <w:sz w:val="28"/>
                <w:szCs w:val="28"/>
              </w:rPr>
              <w:t>南区街道</w:t>
            </w:r>
          </w:p>
        </w:tc>
        <w:tc>
          <w:tcPr>
            <w:tcW w:w="3647" w:type="dxa"/>
            <w:tcBorders>
              <w:right w:val="single" w:color="000000" w:sz="2" w:space="0"/>
            </w:tcBorders>
            <w:vAlign w:val="top"/>
          </w:tcPr>
          <w:p w14:paraId="43E4BCED">
            <w:pPr>
              <w:spacing w:before="205"/>
              <w:ind w:left="1636"/>
              <w:rPr>
                <w:rFonts w:ascii="宋体" w:hAnsi="宋体" w:eastAsia="宋体" w:cs="宋体"/>
                <w:sz w:val="28"/>
                <w:szCs w:val="28"/>
              </w:rPr>
            </w:pPr>
            <w:r>
              <w:rPr>
                <w:rFonts w:ascii="宋体" w:hAnsi="宋体" w:eastAsia="宋体" w:cs="宋体"/>
                <w:spacing w:val="-11"/>
                <w:sz w:val="28"/>
                <w:szCs w:val="28"/>
              </w:rPr>
              <w:t>136</w:t>
            </w:r>
          </w:p>
        </w:tc>
      </w:tr>
      <w:tr w14:paraId="5C29C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trPr>
        <w:tc>
          <w:tcPr>
            <w:tcW w:w="1752" w:type="dxa"/>
            <w:vMerge w:val="continue"/>
            <w:tcBorders>
              <w:top w:val="nil"/>
              <w:left w:val="single" w:color="000000" w:sz="2" w:space="0"/>
              <w:bottom w:val="single" w:color="000000" w:sz="2" w:space="0"/>
            </w:tcBorders>
            <w:vAlign w:val="top"/>
          </w:tcPr>
          <w:p w14:paraId="307FD433">
            <w:pPr>
              <w:rPr>
                <w:rFonts w:ascii="Arial"/>
                <w:sz w:val="21"/>
              </w:rPr>
            </w:pPr>
          </w:p>
        </w:tc>
        <w:tc>
          <w:tcPr>
            <w:tcW w:w="3643" w:type="dxa"/>
            <w:vAlign w:val="top"/>
          </w:tcPr>
          <w:p w14:paraId="43932C00">
            <w:pPr>
              <w:spacing w:before="206" w:line="176" w:lineRule="auto"/>
              <w:ind w:left="1266"/>
              <w:rPr>
                <w:rFonts w:ascii="微软雅黑" w:hAnsi="微软雅黑" w:eastAsia="微软雅黑" w:cs="微软雅黑"/>
                <w:sz w:val="28"/>
                <w:szCs w:val="28"/>
              </w:rPr>
            </w:pPr>
            <w:r>
              <w:rPr>
                <w:rFonts w:ascii="微软雅黑" w:hAnsi="微软雅黑" w:eastAsia="微软雅黑" w:cs="微软雅黑"/>
                <w:spacing w:val="-4"/>
                <w:sz w:val="28"/>
                <w:szCs w:val="28"/>
              </w:rPr>
              <w:t>新开河镇</w:t>
            </w:r>
          </w:p>
        </w:tc>
        <w:tc>
          <w:tcPr>
            <w:tcW w:w="3647" w:type="dxa"/>
            <w:tcBorders>
              <w:right w:val="single" w:color="000000" w:sz="2" w:space="0"/>
            </w:tcBorders>
            <w:vAlign w:val="top"/>
          </w:tcPr>
          <w:p w14:paraId="004435F3">
            <w:pPr>
              <w:spacing w:before="208"/>
              <w:ind w:left="1706"/>
              <w:rPr>
                <w:rFonts w:ascii="宋体" w:hAnsi="宋体" w:eastAsia="宋体" w:cs="宋体"/>
                <w:sz w:val="28"/>
                <w:szCs w:val="28"/>
              </w:rPr>
            </w:pPr>
            <w:r>
              <w:rPr>
                <w:rFonts w:ascii="宋体" w:hAnsi="宋体" w:eastAsia="宋体" w:cs="宋体"/>
                <w:spacing w:val="-16"/>
                <w:sz w:val="28"/>
                <w:szCs w:val="28"/>
              </w:rPr>
              <w:t>15</w:t>
            </w:r>
          </w:p>
        </w:tc>
      </w:tr>
    </w:tbl>
    <w:p w14:paraId="50FA6155">
      <w:pPr>
        <w:pStyle w:val="2"/>
      </w:pPr>
    </w:p>
    <w:p w14:paraId="5F59F8E9">
      <w:pPr>
        <w:sectPr>
          <w:footerReference r:id="rId15" w:type="default"/>
          <w:pgSz w:w="11906" w:h="16838"/>
          <w:pgMar w:top="1431" w:right="1415" w:bottom="1195" w:left="1397" w:header="0" w:footer="782" w:gutter="0"/>
          <w:cols w:space="720" w:num="1"/>
        </w:sectPr>
      </w:pPr>
    </w:p>
    <w:p w14:paraId="0EE984F2">
      <w:pPr>
        <w:spacing w:before="253" w:line="239" w:lineRule="auto"/>
        <w:ind w:left="679"/>
        <w:outlineLvl w:val="1"/>
        <w:rPr>
          <w:rFonts w:ascii="方正小标宋简体" w:hAnsi="方正小标宋简体" w:eastAsia="方正小标宋简体" w:cs="方正小标宋简体"/>
          <w:sz w:val="43"/>
          <w:szCs w:val="43"/>
        </w:rPr>
      </w:pPr>
      <w:r>
        <w:rPr>
          <w:rFonts w:ascii="方正小标宋简体" w:hAnsi="方正小标宋简体" w:eastAsia="方正小标宋简体" w:cs="方正小标宋简体"/>
          <w:spacing w:val="9"/>
          <w:sz w:val="43"/>
          <w:szCs w:val="43"/>
        </w:rPr>
        <w:t>满洲里市烟草制品零售点现场测量标准</w:t>
      </w:r>
    </w:p>
    <w:p w14:paraId="2919C40C">
      <w:pPr>
        <w:pStyle w:val="2"/>
        <w:spacing w:line="265" w:lineRule="auto"/>
      </w:pPr>
    </w:p>
    <w:p w14:paraId="305CDFD0">
      <w:pPr>
        <w:pStyle w:val="2"/>
        <w:spacing w:line="265" w:lineRule="auto"/>
      </w:pPr>
    </w:p>
    <w:p w14:paraId="031D1055">
      <w:pPr>
        <w:spacing w:before="100" w:line="333" w:lineRule="auto"/>
        <w:ind w:left="2" w:firstLine="651"/>
        <w:jc w:val="both"/>
        <w:rPr>
          <w:rFonts w:ascii="FangSong_GB2312" w:hAnsi="FangSong_GB2312" w:eastAsia="FangSong_GB2312" w:cs="FangSong_GB2312"/>
          <w:sz w:val="31"/>
          <w:szCs w:val="31"/>
        </w:rPr>
      </w:pPr>
      <w:r>
        <w:rPr>
          <w:rFonts w:ascii="FangSong_GB2312" w:hAnsi="FangSong_GB2312" w:eastAsia="FangSong_GB2312" w:cs="FangSong_GB2312"/>
          <w:spacing w:val="-4"/>
          <w:sz w:val="31"/>
          <w:szCs w:val="31"/>
        </w:rPr>
        <w:t>为统一、规范现场测量标准，确保烟草制品零售点勘验公开、</w:t>
      </w:r>
      <w:r>
        <w:rPr>
          <w:rFonts w:ascii="FangSong_GB2312" w:hAnsi="FangSong_GB2312" w:eastAsia="FangSong_GB2312" w:cs="FangSong_GB2312"/>
          <w:spacing w:val="5"/>
          <w:sz w:val="31"/>
          <w:szCs w:val="31"/>
        </w:rPr>
        <w:t>公平、公正，依据《满洲里市烟草制品零售点合理布局规划》制</w:t>
      </w:r>
      <w:r>
        <w:rPr>
          <w:rFonts w:ascii="FangSong_GB2312" w:hAnsi="FangSong_GB2312" w:eastAsia="FangSong_GB2312" w:cs="FangSong_GB2312"/>
          <w:spacing w:val="-4"/>
          <w:sz w:val="31"/>
          <w:szCs w:val="31"/>
        </w:rPr>
        <w:t>定本标准。</w:t>
      </w:r>
    </w:p>
    <w:p w14:paraId="5E5C64DB">
      <w:pPr>
        <w:spacing w:before="3" w:line="277" w:lineRule="auto"/>
        <w:ind w:left="6" w:right="92" w:firstLine="638"/>
        <w:rPr>
          <w:rFonts w:ascii="FangSong_GB2312" w:hAnsi="FangSong_GB2312" w:eastAsia="FangSong_GB2312" w:cs="FangSong_GB2312"/>
          <w:sz w:val="31"/>
          <w:szCs w:val="31"/>
        </w:rPr>
      </w:pPr>
      <w:r>
        <w:rPr>
          <w:rFonts w:ascii="黑体" w:hAnsi="黑体" w:eastAsia="黑体" w:cs="黑体"/>
          <w:spacing w:val="17"/>
          <w:sz w:val="31"/>
          <w:szCs w:val="31"/>
        </w:rPr>
        <w:t xml:space="preserve">第一条  </w:t>
      </w:r>
      <w:r>
        <w:rPr>
          <w:rFonts w:ascii="FangSong_GB2312" w:hAnsi="FangSong_GB2312" w:eastAsia="FangSong_GB2312" w:cs="FangSong_GB2312"/>
          <w:spacing w:val="17"/>
          <w:sz w:val="31"/>
          <w:szCs w:val="31"/>
        </w:rPr>
        <w:t>本标准适用于满洲里市烟草专卖局对烟草制品零</w:t>
      </w:r>
      <w:r>
        <w:rPr>
          <w:rFonts w:ascii="FangSong_GB2312" w:hAnsi="FangSong_GB2312" w:eastAsia="FangSong_GB2312" w:cs="FangSong_GB2312"/>
          <w:spacing w:val="4"/>
          <w:sz w:val="31"/>
          <w:szCs w:val="31"/>
        </w:rPr>
        <w:t>售点布局的现场测量工作。</w:t>
      </w:r>
    </w:p>
    <w:p w14:paraId="3EC92B4D">
      <w:pPr>
        <w:spacing w:before="188" w:line="280" w:lineRule="auto"/>
        <w:ind w:left="11" w:right="93" w:firstLine="633"/>
        <w:rPr>
          <w:rFonts w:ascii="FangSong_GB2312" w:hAnsi="FangSong_GB2312" w:eastAsia="FangSong_GB2312" w:cs="FangSong_GB2312"/>
          <w:sz w:val="31"/>
          <w:szCs w:val="31"/>
        </w:rPr>
      </w:pPr>
      <w:r>
        <w:rPr>
          <w:rFonts w:ascii="黑体" w:hAnsi="黑体" w:eastAsia="黑体" w:cs="黑体"/>
          <w:spacing w:val="17"/>
          <w:sz w:val="31"/>
          <w:szCs w:val="31"/>
        </w:rPr>
        <w:t xml:space="preserve">第二条  </w:t>
      </w:r>
      <w:r>
        <w:rPr>
          <w:rFonts w:ascii="FangSong_GB2312" w:hAnsi="FangSong_GB2312" w:eastAsia="FangSong_GB2312" w:cs="FangSong_GB2312"/>
          <w:spacing w:val="17"/>
          <w:sz w:val="31"/>
          <w:szCs w:val="31"/>
        </w:rPr>
        <w:t>烟草制品零售点现场测量主要是指间距距离的测</w:t>
      </w:r>
      <w:r>
        <w:rPr>
          <w:rFonts w:ascii="FangSong_GB2312" w:hAnsi="FangSong_GB2312" w:eastAsia="FangSong_GB2312" w:cs="FangSong_GB2312"/>
          <w:spacing w:val="-7"/>
          <w:sz w:val="31"/>
          <w:szCs w:val="31"/>
        </w:rPr>
        <w:t>量认定。</w:t>
      </w:r>
    </w:p>
    <w:p w14:paraId="5242971E">
      <w:pPr>
        <w:spacing w:before="181" w:line="296" w:lineRule="auto"/>
        <w:ind w:left="11" w:right="93" w:firstLine="633"/>
        <w:rPr>
          <w:rFonts w:ascii="FangSong_GB2312" w:hAnsi="FangSong_GB2312" w:eastAsia="FangSong_GB2312" w:cs="FangSong_GB2312"/>
          <w:sz w:val="31"/>
          <w:szCs w:val="31"/>
        </w:rPr>
      </w:pPr>
      <w:r>
        <w:rPr>
          <w:rFonts w:ascii="黑体" w:hAnsi="黑体" w:eastAsia="黑体" w:cs="黑体"/>
          <w:spacing w:val="5"/>
          <w:sz w:val="31"/>
          <w:szCs w:val="31"/>
        </w:rPr>
        <w:t xml:space="preserve">第三条  </w:t>
      </w:r>
      <w:r>
        <w:rPr>
          <w:rFonts w:ascii="FangSong_GB2312" w:hAnsi="FangSong_GB2312" w:eastAsia="FangSong_GB2312" w:cs="FangSong_GB2312"/>
          <w:spacing w:val="5"/>
          <w:sz w:val="31"/>
          <w:szCs w:val="31"/>
        </w:rPr>
        <w:t>间距距离测量，是指申请人的经营</w:t>
      </w:r>
      <w:r>
        <w:rPr>
          <w:rFonts w:ascii="FangSong_GB2312" w:hAnsi="FangSong_GB2312" w:eastAsia="FangSong_GB2312" w:cs="FangSong_GB2312"/>
          <w:spacing w:val="4"/>
          <w:sz w:val="31"/>
          <w:szCs w:val="31"/>
        </w:rPr>
        <w:t>场所营业大门中</w:t>
      </w:r>
      <w:r>
        <w:rPr>
          <w:rFonts w:ascii="FangSong_GB2312" w:hAnsi="FangSong_GB2312" w:eastAsia="FangSong_GB2312" w:cs="FangSong_GB2312"/>
          <w:spacing w:val="17"/>
          <w:sz w:val="31"/>
          <w:szCs w:val="31"/>
        </w:rPr>
        <w:t>心与最近零售点的经营场所营业大门中心之间行</w:t>
      </w:r>
      <w:r>
        <w:rPr>
          <w:rFonts w:ascii="FangSong_GB2312" w:hAnsi="FangSong_GB2312" w:eastAsia="FangSong_GB2312" w:cs="FangSong_GB2312"/>
          <w:spacing w:val="16"/>
          <w:sz w:val="31"/>
          <w:szCs w:val="31"/>
        </w:rPr>
        <w:t>人可正常安全</w:t>
      </w:r>
      <w:r>
        <w:rPr>
          <w:rFonts w:ascii="FangSong_GB2312" w:hAnsi="FangSong_GB2312" w:eastAsia="FangSong_GB2312" w:cs="FangSong_GB2312"/>
          <w:spacing w:val="2"/>
          <w:sz w:val="31"/>
          <w:szCs w:val="31"/>
        </w:rPr>
        <w:t>通行的无障碍最短距离。</w:t>
      </w:r>
    </w:p>
    <w:p w14:paraId="4A2DC7E6">
      <w:pPr>
        <w:spacing w:before="187" w:line="306" w:lineRule="auto"/>
        <w:ind w:left="3" w:right="95" w:firstLine="640"/>
        <w:rPr>
          <w:rFonts w:ascii="FangSong_GB2312" w:hAnsi="FangSong_GB2312" w:eastAsia="FangSong_GB2312" w:cs="FangSong_GB2312"/>
          <w:sz w:val="31"/>
          <w:szCs w:val="31"/>
        </w:rPr>
      </w:pPr>
      <w:r>
        <w:rPr>
          <w:rFonts w:ascii="黑体" w:hAnsi="黑体" w:eastAsia="黑体" w:cs="黑体"/>
          <w:spacing w:val="5"/>
          <w:sz w:val="31"/>
          <w:szCs w:val="31"/>
        </w:rPr>
        <w:t xml:space="preserve">第四条  </w:t>
      </w:r>
      <w:r>
        <w:rPr>
          <w:rFonts w:ascii="FangSong_GB2312" w:hAnsi="FangSong_GB2312" w:eastAsia="FangSong_GB2312" w:cs="FangSong_GB2312"/>
          <w:spacing w:val="5"/>
          <w:sz w:val="31"/>
          <w:szCs w:val="31"/>
        </w:rPr>
        <w:t>间距距离使用测量工具进行测量，测</w:t>
      </w:r>
      <w:r>
        <w:rPr>
          <w:rFonts w:ascii="FangSong_GB2312" w:hAnsi="FangSong_GB2312" w:eastAsia="FangSong_GB2312" w:cs="FangSong_GB2312"/>
          <w:spacing w:val="4"/>
          <w:sz w:val="31"/>
          <w:szCs w:val="31"/>
        </w:rPr>
        <w:t>量结果在零售</w:t>
      </w:r>
      <w:r>
        <w:rPr>
          <w:rFonts w:ascii="FangSong_GB2312" w:hAnsi="FangSong_GB2312" w:eastAsia="FangSong_GB2312" w:cs="FangSong_GB2312"/>
          <w:spacing w:val="5"/>
          <w:sz w:val="31"/>
          <w:szCs w:val="31"/>
        </w:rPr>
        <w:t>点设置合格值正负</w:t>
      </w:r>
      <w:r>
        <w:rPr>
          <w:rFonts w:ascii="FangSong_GB2312" w:hAnsi="FangSong_GB2312" w:eastAsia="FangSong_GB2312" w:cs="FangSong_GB2312"/>
          <w:spacing w:val="-40"/>
          <w:sz w:val="31"/>
          <w:szCs w:val="31"/>
        </w:rPr>
        <w:t xml:space="preserve"> </w:t>
      </w:r>
      <w:r>
        <w:rPr>
          <w:rFonts w:ascii="FangSong_GB2312" w:hAnsi="FangSong_GB2312" w:eastAsia="FangSong_GB2312" w:cs="FangSong_GB2312"/>
          <w:spacing w:val="5"/>
          <w:sz w:val="31"/>
          <w:szCs w:val="31"/>
        </w:rPr>
        <w:t>2%范围以内，</w:t>
      </w:r>
      <w:r>
        <w:rPr>
          <w:rFonts w:ascii="FangSong_GB2312" w:hAnsi="FangSong_GB2312" w:eastAsia="FangSong_GB2312" w:cs="FangSong_GB2312"/>
          <w:spacing w:val="-76"/>
          <w:sz w:val="31"/>
          <w:szCs w:val="31"/>
        </w:rPr>
        <w:t xml:space="preserve"> </w:t>
      </w:r>
      <w:r>
        <w:rPr>
          <w:rFonts w:ascii="FangSong_GB2312" w:hAnsi="FangSong_GB2312" w:eastAsia="FangSong_GB2312" w:cs="FangSong_GB2312"/>
          <w:spacing w:val="5"/>
          <w:sz w:val="31"/>
          <w:szCs w:val="31"/>
        </w:rPr>
        <w:t>即视为有效测量。申请人或利害关系人提出复核的，由测量单位纪检监察或内管监督部门参与</w:t>
      </w:r>
      <w:r>
        <w:rPr>
          <w:rFonts w:ascii="FangSong_GB2312" w:hAnsi="FangSong_GB2312" w:eastAsia="FangSong_GB2312" w:cs="FangSong_GB2312"/>
          <w:spacing w:val="7"/>
          <w:sz w:val="31"/>
          <w:szCs w:val="31"/>
        </w:rPr>
        <w:t>进行二次勘验，并制作现场勘验表和全程视频音频记录。</w:t>
      </w:r>
    </w:p>
    <w:p w14:paraId="14E53E5C">
      <w:pPr>
        <w:spacing w:before="187" w:line="276" w:lineRule="auto"/>
        <w:ind w:left="21" w:right="92" w:firstLine="623"/>
        <w:rPr>
          <w:rFonts w:ascii="FangSong_GB2312" w:hAnsi="FangSong_GB2312" w:eastAsia="FangSong_GB2312" w:cs="FangSong_GB2312"/>
          <w:sz w:val="31"/>
          <w:szCs w:val="31"/>
        </w:rPr>
      </w:pPr>
      <w:r>
        <w:rPr>
          <w:rFonts w:ascii="黑体" w:hAnsi="黑体" w:eastAsia="黑体" w:cs="黑体"/>
          <w:spacing w:val="17"/>
          <w:sz w:val="31"/>
          <w:szCs w:val="31"/>
        </w:rPr>
        <w:t xml:space="preserve">第五条  </w:t>
      </w:r>
      <w:r>
        <w:rPr>
          <w:rFonts w:ascii="FangSong_GB2312" w:hAnsi="FangSong_GB2312" w:eastAsia="FangSong_GB2312" w:cs="FangSong_GB2312"/>
          <w:spacing w:val="17"/>
          <w:sz w:val="31"/>
          <w:szCs w:val="31"/>
        </w:rPr>
        <w:t>政府有关部门在街道或道路中已经设置的行人隔</w:t>
      </w:r>
      <w:r>
        <w:rPr>
          <w:rFonts w:ascii="FangSong_GB2312" w:hAnsi="FangSong_GB2312" w:eastAsia="FangSong_GB2312" w:cs="FangSong_GB2312"/>
          <w:spacing w:val="3"/>
          <w:sz w:val="31"/>
          <w:szCs w:val="31"/>
        </w:rPr>
        <w:t>离带（栏）、绿化带等视为障碍物，认定为不可</w:t>
      </w:r>
      <w:r>
        <w:rPr>
          <w:rFonts w:ascii="FangSong_GB2312" w:hAnsi="FangSong_GB2312" w:eastAsia="FangSong_GB2312" w:cs="FangSong_GB2312"/>
          <w:spacing w:val="2"/>
          <w:sz w:val="31"/>
          <w:szCs w:val="31"/>
        </w:rPr>
        <w:t>正常安全通行。</w:t>
      </w:r>
    </w:p>
    <w:p w14:paraId="068DD3D2">
      <w:pPr>
        <w:spacing w:before="174" w:line="288" w:lineRule="auto"/>
        <w:ind w:left="11" w:right="95" w:firstLine="633"/>
        <w:rPr>
          <w:rFonts w:ascii="FangSong_GB2312" w:hAnsi="FangSong_GB2312" w:eastAsia="FangSong_GB2312" w:cs="FangSong_GB2312"/>
          <w:sz w:val="31"/>
          <w:szCs w:val="31"/>
        </w:rPr>
      </w:pPr>
      <w:r>
        <w:rPr>
          <w:rFonts w:ascii="黑体" w:hAnsi="黑体" w:eastAsia="黑体" w:cs="黑体"/>
          <w:spacing w:val="5"/>
          <w:sz w:val="31"/>
          <w:szCs w:val="31"/>
        </w:rPr>
        <w:t xml:space="preserve">第六条  </w:t>
      </w:r>
      <w:r>
        <w:rPr>
          <w:rFonts w:ascii="FangSong_GB2312" w:hAnsi="FangSong_GB2312" w:eastAsia="FangSong_GB2312" w:cs="FangSong_GB2312"/>
          <w:spacing w:val="5"/>
          <w:sz w:val="31"/>
          <w:szCs w:val="31"/>
        </w:rPr>
        <w:t>在通行道路上临时设置的安全设施，</w:t>
      </w:r>
      <w:r>
        <w:rPr>
          <w:rFonts w:ascii="FangSong_GB2312" w:hAnsi="FangSong_GB2312" w:eastAsia="FangSong_GB2312" w:cs="FangSong_GB2312"/>
          <w:spacing w:val="4"/>
          <w:sz w:val="31"/>
          <w:szCs w:val="31"/>
        </w:rPr>
        <w:t>临时放置的建</w:t>
      </w:r>
      <w:r>
        <w:rPr>
          <w:rFonts w:ascii="FangSong_GB2312" w:hAnsi="FangSong_GB2312" w:eastAsia="FangSong_GB2312" w:cs="FangSong_GB2312"/>
          <w:spacing w:val="5"/>
          <w:sz w:val="31"/>
          <w:szCs w:val="31"/>
        </w:rPr>
        <w:t>筑材料、物品，擅自设立、建造的建筑、物体，以及因阶段性施</w:t>
      </w:r>
      <w:r>
        <w:rPr>
          <w:rFonts w:ascii="FangSong_GB2312" w:hAnsi="FangSong_GB2312" w:eastAsia="FangSong_GB2312" w:cs="FangSong_GB2312"/>
          <w:spacing w:val="4"/>
          <w:sz w:val="31"/>
          <w:szCs w:val="31"/>
        </w:rPr>
        <w:t>工影响通行等不视为障碍物。</w:t>
      </w:r>
    </w:p>
    <w:p w14:paraId="335EF336">
      <w:pPr>
        <w:spacing w:line="288" w:lineRule="auto"/>
        <w:rPr>
          <w:rFonts w:ascii="FangSong_GB2312" w:hAnsi="FangSong_GB2312" w:eastAsia="FangSong_GB2312" w:cs="FangSong_GB2312"/>
          <w:sz w:val="31"/>
          <w:szCs w:val="31"/>
        </w:rPr>
        <w:sectPr>
          <w:headerReference r:id="rId16" w:type="default"/>
          <w:footerReference r:id="rId17" w:type="default"/>
          <w:pgSz w:w="11906" w:h="16838"/>
          <w:pgMar w:top="2679" w:right="1435" w:bottom="1195" w:left="1539" w:header="2189" w:footer="829" w:gutter="0"/>
          <w:cols w:space="720" w:num="1"/>
        </w:sectPr>
      </w:pPr>
    </w:p>
    <w:p w14:paraId="048573ED">
      <w:pPr>
        <w:pStyle w:val="2"/>
        <w:spacing w:line="249" w:lineRule="auto"/>
      </w:pPr>
    </w:p>
    <w:p w14:paraId="1A3B14FD">
      <w:pPr>
        <w:pStyle w:val="2"/>
        <w:spacing w:line="249" w:lineRule="auto"/>
      </w:pPr>
    </w:p>
    <w:p w14:paraId="17C3A2BD">
      <w:pPr>
        <w:pStyle w:val="2"/>
        <w:spacing w:line="249" w:lineRule="auto"/>
      </w:pPr>
    </w:p>
    <w:p w14:paraId="1C5CBDBB">
      <w:pPr>
        <w:pStyle w:val="2"/>
        <w:spacing w:line="249" w:lineRule="auto"/>
      </w:pPr>
    </w:p>
    <w:p w14:paraId="3A051152">
      <w:pPr>
        <w:pStyle w:val="2"/>
        <w:spacing w:line="249" w:lineRule="auto"/>
      </w:pPr>
    </w:p>
    <w:p w14:paraId="30BF776A">
      <w:pPr>
        <w:pStyle w:val="2"/>
        <w:spacing w:line="249" w:lineRule="auto"/>
      </w:pPr>
    </w:p>
    <w:p w14:paraId="1AD977A5">
      <w:pPr>
        <w:pStyle w:val="2"/>
        <w:spacing w:line="250" w:lineRule="auto"/>
      </w:pPr>
    </w:p>
    <w:p w14:paraId="4D77AE49">
      <w:pPr>
        <w:spacing w:before="101" w:line="224" w:lineRule="auto"/>
        <w:ind w:left="643"/>
        <w:rPr>
          <w:rFonts w:ascii="FangSong_GB2312" w:hAnsi="FangSong_GB2312" w:eastAsia="FangSong_GB2312" w:cs="FangSong_GB2312"/>
          <w:sz w:val="31"/>
          <w:szCs w:val="31"/>
        </w:rPr>
      </w:pPr>
      <w:r>
        <w:rPr>
          <w:rFonts w:ascii="黑体" w:hAnsi="黑体" w:eastAsia="黑体" w:cs="黑体"/>
          <w:spacing w:val="-2"/>
          <w:sz w:val="31"/>
          <w:szCs w:val="31"/>
        </w:rPr>
        <w:t>第七条</w:t>
      </w:r>
      <w:r>
        <w:rPr>
          <w:rFonts w:ascii="黑体" w:hAnsi="黑体" w:eastAsia="黑体" w:cs="黑体"/>
          <w:spacing w:val="16"/>
          <w:sz w:val="31"/>
          <w:szCs w:val="31"/>
        </w:rPr>
        <w:t xml:space="preserve">  </w:t>
      </w:r>
      <w:r>
        <w:rPr>
          <w:rFonts w:ascii="FangSong_GB2312" w:hAnsi="FangSong_GB2312" w:eastAsia="FangSong_GB2312" w:cs="FangSong_GB2312"/>
          <w:spacing w:val="-2"/>
          <w:sz w:val="31"/>
          <w:szCs w:val="31"/>
        </w:rPr>
        <w:t>测量标准。</w:t>
      </w:r>
    </w:p>
    <w:p w14:paraId="27FC543D">
      <w:pPr>
        <w:spacing w:before="163" w:line="311" w:lineRule="auto"/>
        <w:ind w:left="12" w:right="2" w:firstLine="651"/>
        <w:rPr>
          <w:rFonts w:ascii="FangSong_GB2312" w:hAnsi="FangSong_GB2312" w:eastAsia="FangSong_GB2312" w:cs="FangSong_GB2312"/>
          <w:sz w:val="31"/>
          <w:szCs w:val="31"/>
        </w:rPr>
      </w:pPr>
      <w:r>
        <w:rPr>
          <w:rFonts w:ascii="FangSong_GB2312" w:hAnsi="FangSong_GB2312" w:eastAsia="FangSong_GB2312" w:cs="FangSong_GB2312"/>
          <w:spacing w:val="13"/>
          <w:sz w:val="31"/>
          <w:szCs w:val="31"/>
        </w:rPr>
        <w:t>1.</w:t>
      </w:r>
      <w:r>
        <w:rPr>
          <w:rFonts w:ascii="FangSong_GB2312" w:hAnsi="FangSong_GB2312" w:eastAsia="FangSong_GB2312" w:cs="FangSong_GB2312"/>
          <w:spacing w:val="-76"/>
          <w:sz w:val="31"/>
          <w:szCs w:val="31"/>
        </w:rPr>
        <w:t xml:space="preserve"> </w:t>
      </w:r>
      <w:r>
        <w:rPr>
          <w:rFonts w:ascii="FangSong_GB2312" w:hAnsi="FangSong_GB2312" w:eastAsia="FangSong_GB2312" w:cs="FangSong_GB2312"/>
          <w:spacing w:val="13"/>
          <w:sz w:val="31"/>
          <w:szCs w:val="31"/>
        </w:rPr>
        <w:t>申请人的经营场所与最近零售点的经营场所同侧无障碍</w:t>
      </w:r>
      <w:r>
        <w:rPr>
          <w:rFonts w:ascii="FangSong_GB2312" w:hAnsi="FangSong_GB2312" w:eastAsia="FangSong_GB2312" w:cs="FangSong_GB2312"/>
          <w:spacing w:val="5"/>
          <w:sz w:val="31"/>
          <w:szCs w:val="31"/>
        </w:rPr>
        <w:t>物的，测量最短直线距离。（如图</w:t>
      </w:r>
      <w:r>
        <w:rPr>
          <w:rFonts w:ascii="FangSong_GB2312" w:hAnsi="FangSong_GB2312" w:eastAsia="FangSong_GB2312" w:cs="FangSong_GB2312"/>
          <w:spacing w:val="-29"/>
          <w:sz w:val="31"/>
          <w:szCs w:val="31"/>
        </w:rPr>
        <w:t xml:space="preserve"> </w:t>
      </w:r>
      <w:r>
        <w:rPr>
          <w:rFonts w:ascii="FangSong_GB2312" w:hAnsi="FangSong_GB2312" w:eastAsia="FangSong_GB2312" w:cs="FangSong_GB2312"/>
          <w:spacing w:val="5"/>
          <w:sz w:val="31"/>
          <w:szCs w:val="31"/>
        </w:rPr>
        <w:t>1</w:t>
      </w:r>
      <w:r>
        <w:rPr>
          <w:rFonts w:ascii="FangSong_GB2312" w:hAnsi="FangSong_GB2312" w:eastAsia="FangSong_GB2312" w:cs="FangSong_GB2312"/>
          <w:spacing w:val="-60"/>
          <w:sz w:val="31"/>
          <w:szCs w:val="31"/>
        </w:rPr>
        <w:t xml:space="preserve"> </w:t>
      </w:r>
      <w:r>
        <w:rPr>
          <w:rFonts w:ascii="FangSong_GB2312" w:hAnsi="FangSong_GB2312" w:eastAsia="FangSong_GB2312" w:cs="FangSong_GB2312"/>
          <w:spacing w:val="5"/>
          <w:sz w:val="31"/>
          <w:szCs w:val="31"/>
        </w:rPr>
        <w:t>所示）</w:t>
      </w:r>
    </w:p>
    <w:p w14:paraId="0D646F92">
      <w:pPr>
        <w:spacing w:line="3189" w:lineRule="exact"/>
        <w:ind w:firstLine="270"/>
      </w:pPr>
      <w:r>
        <w:rPr>
          <w:position w:val="-63"/>
        </w:rPr>
        <w:drawing>
          <wp:inline distT="0" distB="0" distL="0" distR="0">
            <wp:extent cx="5257165" cy="202501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25"/>
                    <a:stretch>
                      <a:fillRect/>
                    </a:stretch>
                  </pic:blipFill>
                  <pic:spPr>
                    <a:xfrm>
                      <a:off x="0" y="0"/>
                      <a:ext cx="5257715" cy="2025363"/>
                    </a:xfrm>
                    <a:prstGeom prst="rect">
                      <a:avLst/>
                    </a:prstGeom>
                  </pic:spPr>
                </pic:pic>
              </a:graphicData>
            </a:graphic>
          </wp:inline>
        </w:drawing>
      </w:r>
    </w:p>
    <w:p w14:paraId="30E0A9CC">
      <w:pPr>
        <w:spacing w:before="273" w:line="225" w:lineRule="auto"/>
        <w:ind w:left="3815"/>
        <w:rPr>
          <w:rFonts w:ascii="FangSong_GB2312" w:hAnsi="FangSong_GB2312" w:eastAsia="FangSong_GB2312" w:cs="FangSong_GB2312"/>
          <w:sz w:val="31"/>
          <w:szCs w:val="31"/>
        </w:rPr>
      </w:pPr>
      <w:r>
        <w:rPr>
          <w:rFonts w:ascii="FangSong_GB2312" w:hAnsi="FangSong_GB2312" w:eastAsia="FangSong_GB2312" w:cs="FangSong_GB2312"/>
          <w:spacing w:val="-10"/>
          <w:sz w:val="31"/>
          <w:szCs w:val="31"/>
        </w:rPr>
        <w:t>（图 1）</w:t>
      </w:r>
    </w:p>
    <w:p w14:paraId="3B27706D">
      <w:pPr>
        <w:spacing w:before="251" w:line="298" w:lineRule="auto"/>
        <w:ind w:firstLine="720"/>
        <w:jc w:val="both"/>
        <w:rPr>
          <w:rFonts w:ascii="FangSong_GB2312" w:hAnsi="FangSong_GB2312" w:eastAsia="FangSong_GB2312" w:cs="FangSong_GB2312"/>
          <w:sz w:val="31"/>
          <w:szCs w:val="31"/>
        </w:rPr>
      </w:pPr>
      <w:r>
        <w:rPr>
          <w:rFonts w:ascii="FangSong_GB2312" w:hAnsi="FangSong_GB2312" w:eastAsia="FangSong_GB2312" w:cs="FangSong_GB2312"/>
          <w:spacing w:val="11"/>
          <w:sz w:val="31"/>
          <w:szCs w:val="31"/>
        </w:rPr>
        <w:t>2.</w:t>
      </w:r>
      <w:r>
        <w:rPr>
          <w:rFonts w:ascii="FangSong_GB2312" w:hAnsi="FangSong_GB2312" w:eastAsia="FangSong_GB2312" w:cs="FangSong_GB2312"/>
          <w:spacing w:val="-81"/>
          <w:sz w:val="31"/>
          <w:szCs w:val="31"/>
        </w:rPr>
        <w:t xml:space="preserve"> </w:t>
      </w:r>
      <w:r>
        <w:rPr>
          <w:rFonts w:ascii="FangSong_GB2312" w:hAnsi="FangSong_GB2312" w:eastAsia="FangSong_GB2312" w:cs="FangSong_GB2312"/>
          <w:spacing w:val="11"/>
          <w:sz w:val="31"/>
          <w:szCs w:val="31"/>
        </w:rPr>
        <w:t>申请人的经营场所与最近零售点的经营场所同侧存在障</w:t>
      </w:r>
      <w:r>
        <w:rPr>
          <w:rFonts w:ascii="FangSong_GB2312" w:hAnsi="FangSong_GB2312" w:eastAsia="FangSong_GB2312" w:cs="FangSong_GB2312"/>
          <w:spacing w:val="5"/>
          <w:sz w:val="31"/>
          <w:szCs w:val="31"/>
        </w:rPr>
        <w:t>碍物的，测量按直角分段绕过障碍物测量，分段最短距离之和即</w:t>
      </w:r>
      <w:r>
        <w:rPr>
          <w:rFonts w:ascii="FangSong_GB2312" w:hAnsi="FangSong_GB2312" w:eastAsia="FangSong_GB2312" w:cs="FangSong_GB2312"/>
          <w:spacing w:val="4"/>
          <w:sz w:val="31"/>
          <w:szCs w:val="31"/>
        </w:rPr>
        <w:t>为申请人的经营场所与最近零售点的经营场所间的距</w:t>
      </w:r>
      <w:r>
        <w:rPr>
          <w:rFonts w:ascii="FangSong_GB2312" w:hAnsi="FangSong_GB2312" w:eastAsia="FangSong_GB2312" w:cs="FangSong_GB2312"/>
          <w:spacing w:val="3"/>
          <w:sz w:val="31"/>
          <w:szCs w:val="31"/>
        </w:rPr>
        <w:t>离。（如图</w:t>
      </w:r>
      <w:r>
        <w:rPr>
          <w:rFonts w:ascii="FangSong_GB2312" w:hAnsi="FangSong_GB2312" w:eastAsia="FangSong_GB2312" w:cs="FangSong_GB2312"/>
          <w:spacing w:val="1"/>
          <w:sz w:val="31"/>
          <w:szCs w:val="31"/>
        </w:rPr>
        <w:t>2</w:t>
      </w:r>
      <w:r>
        <w:rPr>
          <w:rFonts w:ascii="FangSong_GB2312" w:hAnsi="FangSong_GB2312" w:eastAsia="FangSong_GB2312" w:cs="FangSong_GB2312"/>
          <w:spacing w:val="-60"/>
          <w:sz w:val="31"/>
          <w:szCs w:val="31"/>
        </w:rPr>
        <w:t xml:space="preserve"> </w:t>
      </w:r>
      <w:r>
        <w:rPr>
          <w:rFonts w:ascii="FangSong_GB2312" w:hAnsi="FangSong_GB2312" w:eastAsia="FangSong_GB2312" w:cs="FangSong_GB2312"/>
          <w:spacing w:val="1"/>
          <w:sz w:val="31"/>
          <w:szCs w:val="31"/>
        </w:rPr>
        <w:t>所示）</w:t>
      </w:r>
    </w:p>
    <w:p w14:paraId="0ECD9C42">
      <w:pPr>
        <w:spacing w:line="2963" w:lineRule="exact"/>
        <w:ind w:firstLine="304"/>
      </w:pPr>
      <w:r>
        <w:rPr>
          <w:position w:val="-59"/>
        </w:rPr>
        <w:drawing>
          <wp:inline distT="0" distB="0" distL="0" distR="0">
            <wp:extent cx="5216525" cy="188150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26"/>
                    <a:stretch>
                      <a:fillRect/>
                    </a:stretch>
                  </pic:blipFill>
                  <pic:spPr>
                    <a:xfrm>
                      <a:off x="0" y="0"/>
                      <a:ext cx="5216567" cy="1882111"/>
                    </a:xfrm>
                    <a:prstGeom prst="rect">
                      <a:avLst/>
                    </a:prstGeom>
                  </pic:spPr>
                </pic:pic>
              </a:graphicData>
            </a:graphic>
          </wp:inline>
        </w:drawing>
      </w:r>
    </w:p>
    <w:p w14:paraId="51BED1B6">
      <w:pPr>
        <w:spacing w:before="56" w:line="495" w:lineRule="exact"/>
        <w:ind w:left="3797"/>
        <w:rPr>
          <w:rFonts w:ascii="FangSong_GB2312" w:hAnsi="FangSong_GB2312" w:eastAsia="FangSong_GB2312" w:cs="FangSong_GB2312"/>
          <w:sz w:val="31"/>
          <w:szCs w:val="31"/>
        </w:rPr>
      </w:pPr>
      <w:r>
        <w:rPr>
          <w:rFonts w:ascii="方正小标宋简体" w:hAnsi="方正小标宋简体" w:eastAsia="方正小标宋简体" w:cs="方正小标宋简体"/>
          <w:spacing w:val="-12"/>
          <w:position w:val="4"/>
          <w:sz w:val="31"/>
          <w:szCs w:val="31"/>
        </w:rPr>
        <w:t xml:space="preserve">（ </w:t>
      </w:r>
      <w:r>
        <w:rPr>
          <w:rFonts w:ascii="FangSong_GB2312" w:hAnsi="FangSong_GB2312" w:eastAsia="FangSong_GB2312" w:cs="FangSong_GB2312"/>
          <w:spacing w:val="-12"/>
          <w:position w:val="4"/>
          <w:sz w:val="31"/>
          <w:szCs w:val="31"/>
        </w:rPr>
        <w:t>图</w:t>
      </w:r>
      <w:r>
        <w:rPr>
          <w:rFonts w:ascii="FangSong_GB2312" w:hAnsi="FangSong_GB2312" w:eastAsia="FangSong_GB2312" w:cs="FangSong_GB2312"/>
          <w:spacing w:val="-51"/>
          <w:position w:val="4"/>
          <w:sz w:val="31"/>
          <w:szCs w:val="31"/>
        </w:rPr>
        <w:t xml:space="preserve"> </w:t>
      </w:r>
      <w:r>
        <w:rPr>
          <w:rFonts w:ascii="FangSong_GB2312" w:hAnsi="FangSong_GB2312" w:eastAsia="FangSong_GB2312" w:cs="FangSong_GB2312"/>
          <w:spacing w:val="-12"/>
          <w:position w:val="4"/>
          <w:sz w:val="31"/>
          <w:szCs w:val="31"/>
        </w:rPr>
        <w:t>2）</w:t>
      </w:r>
    </w:p>
    <w:p w14:paraId="2EE102D0">
      <w:pPr>
        <w:spacing w:before="104" w:line="319" w:lineRule="auto"/>
        <w:ind w:left="29" w:firstLine="703"/>
        <w:rPr>
          <w:rFonts w:ascii="FangSong_GB2312" w:hAnsi="FangSong_GB2312" w:eastAsia="FangSong_GB2312" w:cs="FangSong_GB2312"/>
          <w:sz w:val="31"/>
          <w:szCs w:val="31"/>
        </w:rPr>
      </w:pPr>
      <w:r>
        <w:rPr>
          <w:rFonts w:ascii="FangSong_GB2312" w:hAnsi="FangSong_GB2312" w:eastAsia="FangSong_GB2312" w:cs="FangSong_GB2312"/>
          <w:spacing w:val="11"/>
          <w:sz w:val="31"/>
          <w:szCs w:val="31"/>
        </w:rPr>
        <w:t>3.</w:t>
      </w:r>
      <w:r>
        <w:rPr>
          <w:rFonts w:ascii="FangSong_GB2312" w:hAnsi="FangSong_GB2312" w:eastAsia="FangSong_GB2312" w:cs="FangSong_GB2312"/>
          <w:spacing w:val="-86"/>
          <w:sz w:val="31"/>
          <w:szCs w:val="31"/>
        </w:rPr>
        <w:t xml:space="preserve"> </w:t>
      </w:r>
      <w:r>
        <w:rPr>
          <w:rFonts w:ascii="FangSong_GB2312" w:hAnsi="FangSong_GB2312" w:eastAsia="FangSong_GB2312" w:cs="FangSong_GB2312"/>
          <w:spacing w:val="11"/>
          <w:sz w:val="31"/>
          <w:szCs w:val="31"/>
        </w:rPr>
        <w:t>申请人的经营场所与最近零售点位于道路</w:t>
      </w:r>
      <w:r>
        <w:rPr>
          <w:rFonts w:ascii="FangSong_GB2312" w:hAnsi="FangSong_GB2312" w:eastAsia="FangSong_GB2312" w:cs="FangSong_GB2312"/>
          <w:spacing w:val="10"/>
          <w:sz w:val="31"/>
          <w:szCs w:val="31"/>
        </w:rPr>
        <w:t>两侧的，零售</w:t>
      </w:r>
      <w:r>
        <w:rPr>
          <w:rFonts w:ascii="FangSong_GB2312" w:hAnsi="FangSong_GB2312" w:eastAsia="FangSong_GB2312" w:cs="FangSong_GB2312"/>
          <w:spacing w:val="4"/>
          <w:sz w:val="31"/>
          <w:szCs w:val="31"/>
        </w:rPr>
        <w:t>点距离按照最近的人行横道进行测量，测量按直角分段测量，分</w:t>
      </w:r>
    </w:p>
    <w:p w14:paraId="736E1F12">
      <w:pPr>
        <w:spacing w:line="319" w:lineRule="auto"/>
        <w:rPr>
          <w:rFonts w:ascii="FangSong_GB2312" w:hAnsi="FangSong_GB2312" w:eastAsia="FangSong_GB2312" w:cs="FangSong_GB2312"/>
          <w:sz w:val="31"/>
          <w:szCs w:val="31"/>
        </w:rPr>
        <w:sectPr>
          <w:headerReference r:id="rId18" w:type="default"/>
          <w:footerReference r:id="rId19" w:type="default"/>
          <w:pgSz w:w="11906" w:h="16838"/>
          <w:pgMar w:top="400" w:right="1530" w:bottom="1195" w:left="1541" w:header="0" w:footer="831" w:gutter="0"/>
          <w:cols w:space="720" w:num="1"/>
        </w:sectPr>
      </w:pPr>
    </w:p>
    <w:p w14:paraId="19706A55">
      <w:pPr>
        <w:pStyle w:val="2"/>
        <w:spacing w:line="249" w:lineRule="auto"/>
      </w:pPr>
    </w:p>
    <w:p w14:paraId="6FCC2E35">
      <w:pPr>
        <w:pStyle w:val="2"/>
        <w:spacing w:line="249" w:lineRule="auto"/>
      </w:pPr>
    </w:p>
    <w:p w14:paraId="620FA1EB">
      <w:pPr>
        <w:pStyle w:val="2"/>
        <w:spacing w:line="249" w:lineRule="auto"/>
      </w:pPr>
    </w:p>
    <w:p w14:paraId="5ADC5517">
      <w:pPr>
        <w:pStyle w:val="2"/>
        <w:spacing w:line="249" w:lineRule="auto"/>
      </w:pPr>
    </w:p>
    <w:p w14:paraId="0EBF57D8">
      <w:pPr>
        <w:pStyle w:val="2"/>
        <w:spacing w:line="250" w:lineRule="auto"/>
      </w:pPr>
    </w:p>
    <w:p w14:paraId="59F20B7F">
      <w:pPr>
        <w:pStyle w:val="2"/>
        <w:spacing w:line="250" w:lineRule="auto"/>
      </w:pPr>
    </w:p>
    <w:p w14:paraId="4B9F7DCB">
      <w:pPr>
        <w:pStyle w:val="2"/>
        <w:spacing w:line="250" w:lineRule="auto"/>
      </w:pPr>
    </w:p>
    <w:p w14:paraId="02862746">
      <w:pPr>
        <w:spacing w:before="100" w:line="274" w:lineRule="auto"/>
        <w:ind w:left="5" w:firstLine="8"/>
        <w:rPr>
          <w:rFonts w:ascii="FangSong_GB2312" w:hAnsi="FangSong_GB2312" w:eastAsia="FangSong_GB2312" w:cs="FangSong_GB2312"/>
          <w:sz w:val="31"/>
          <w:szCs w:val="31"/>
        </w:rPr>
      </w:pPr>
      <w:r>
        <w:rPr>
          <w:rFonts w:ascii="FangSong_GB2312" w:hAnsi="FangSong_GB2312" w:eastAsia="FangSong_GB2312" w:cs="FangSong_GB2312"/>
          <w:spacing w:val="16"/>
          <w:sz w:val="31"/>
          <w:szCs w:val="31"/>
        </w:rPr>
        <w:t>段最短距离之和即为申请人的经营场所与最近零售点的经营场</w:t>
      </w:r>
      <w:r>
        <w:rPr>
          <w:rFonts w:ascii="FangSong_GB2312" w:hAnsi="FangSong_GB2312" w:eastAsia="FangSong_GB2312" w:cs="FangSong_GB2312"/>
          <w:spacing w:val="-10"/>
          <w:sz w:val="31"/>
          <w:szCs w:val="31"/>
        </w:rPr>
        <w:t>所的距离。（如图</w:t>
      </w:r>
      <w:r>
        <w:rPr>
          <w:rFonts w:ascii="FangSong_GB2312" w:hAnsi="FangSong_GB2312" w:eastAsia="FangSong_GB2312" w:cs="FangSong_GB2312"/>
          <w:spacing w:val="-35"/>
          <w:sz w:val="31"/>
          <w:szCs w:val="31"/>
        </w:rPr>
        <w:t xml:space="preserve"> </w:t>
      </w:r>
      <w:r>
        <w:rPr>
          <w:rFonts w:ascii="FangSong_GB2312" w:hAnsi="FangSong_GB2312" w:eastAsia="FangSong_GB2312" w:cs="FangSong_GB2312"/>
          <w:spacing w:val="-10"/>
          <w:sz w:val="31"/>
          <w:szCs w:val="31"/>
        </w:rPr>
        <w:t>3</w:t>
      </w:r>
      <w:r>
        <w:rPr>
          <w:rFonts w:ascii="FangSong_GB2312" w:hAnsi="FangSong_GB2312" w:eastAsia="FangSong_GB2312" w:cs="FangSong_GB2312"/>
          <w:spacing w:val="-61"/>
          <w:sz w:val="31"/>
          <w:szCs w:val="31"/>
        </w:rPr>
        <w:t xml:space="preserve"> </w:t>
      </w:r>
      <w:r>
        <w:rPr>
          <w:rFonts w:ascii="FangSong_GB2312" w:hAnsi="FangSong_GB2312" w:eastAsia="FangSong_GB2312" w:cs="FangSong_GB2312"/>
          <w:spacing w:val="-10"/>
          <w:sz w:val="31"/>
          <w:szCs w:val="31"/>
        </w:rPr>
        <w:t>所示）</w:t>
      </w:r>
    </w:p>
    <w:p w14:paraId="3B6370BE">
      <w:pPr>
        <w:spacing w:line="4154" w:lineRule="exact"/>
        <w:ind w:firstLine="106"/>
      </w:pPr>
      <w:r>
        <w:rPr>
          <w:position w:val="-83"/>
        </w:rPr>
        <w:drawing>
          <wp:inline distT="0" distB="0" distL="0" distR="0">
            <wp:extent cx="5469255" cy="2637790"/>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27"/>
                    <a:stretch>
                      <a:fillRect/>
                    </a:stretch>
                  </pic:blipFill>
                  <pic:spPr>
                    <a:xfrm>
                      <a:off x="0" y="0"/>
                      <a:ext cx="5469545" cy="2638001"/>
                    </a:xfrm>
                    <a:prstGeom prst="rect">
                      <a:avLst/>
                    </a:prstGeom>
                  </pic:spPr>
                </pic:pic>
              </a:graphicData>
            </a:graphic>
          </wp:inline>
        </w:drawing>
      </w:r>
    </w:p>
    <w:p w14:paraId="368D97E2">
      <w:pPr>
        <w:spacing w:before="50" w:line="225" w:lineRule="auto"/>
        <w:ind w:left="3816"/>
        <w:rPr>
          <w:rFonts w:ascii="FangSong_GB2312" w:hAnsi="FangSong_GB2312" w:eastAsia="FangSong_GB2312" w:cs="FangSong_GB2312"/>
          <w:sz w:val="31"/>
          <w:szCs w:val="31"/>
        </w:rPr>
      </w:pPr>
      <w:r>
        <w:rPr>
          <w:rFonts w:ascii="FangSong_GB2312" w:hAnsi="FangSong_GB2312" w:eastAsia="FangSong_GB2312" w:cs="FangSong_GB2312"/>
          <w:spacing w:val="-14"/>
          <w:sz w:val="31"/>
          <w:szCs w:val="31"/>
        </w:rPr>
        <w:t>（图</w:t>
      </w:r>
      <w:r>
        <w:rPr>
          <w:rFonts w:ascii="FangSong_GB2312" w:hAnsi="FangSong_GB2312" w:eastAsia="FangSong_GB2312" w:cs="FangSong_GB2312"/>
          <w:spacing w:val="5"/>
          <w:sz w:val="31"/>
          <w:szCs w:val="31"/>
        </w:rPr>
        <w:t xml:space="preserve"> </w:t>
      </w:r>
      <w:r>
        <w:rPr>
          <w:rFonts w:ascii="FangSong_GB2312" w:hAnsi="FangSong_GB2312" w:eastAsia="FangSong_GB2312" w:cs="FangSong_GB2312"/>
          <w:spacing w:val="-14"/>
          <w:sz w:val="31"/>
          <w:szCs w:val="31"/>
        </w:rPr>
        <w:t>3）</w:t>
      </w:r>
    </w:p>
    <w:p w14:paraId="4EE4473C">
      <w:pPr>
        <w:spacing w:before="145" w:line="298" w:lineRule="auto"/>
        <w:ind w:left="1" w:firstLine="719"/>
        <w:jc w:val="both"/>
        <w:rPr>
          <w:rFonts w:ascii="FangSong_GB2312" w:hAnsi="FangSong_GB2312" w:eastAsia="FangSong_GB2312" w:cs="FangSong_GB2312"/>
          <w:sz w:val="31"/>
          <w:szCs w:val="31"/>
        </w:rPr>
      </w:pPr>
      <w:r>
        <w:rPr>
          <w:rFonts w:ascii="FangSong_GB2312" w:hAnsi="FangSong_GB2312" w:eastAsia="FangSong_GB2312" w:cs="FangSong_GB2312"/>
          <w:spacing w:val="11"/>
          <w:sz w:val="31"/>
          <w:szCs w:val="31"/>
        </w:rPr>
        <w:t>4.</w:t>
      </w:r>
      <w:r>
        <w:rPr>
          <w:rFonts w:ascii="FangSong_GB2312" w:hAnsi="FangSong_GB2312" w:eastAsia="FangSong_GB2312" w:cs="FangSong_GB2312"/>
          <w:spacing w:val="-77"/>
          <w:sz w:val="31"/>
          <w:szCs w:val="31"/>
        </w:rPr>
        <w:t xml:space="preserve"> </w:t>
      </w:r>
      <w:r>
        <w:rPr>
          <w:rFonts w:ascii="FangSong_GB2312" w:hAnsi="FangSong_GB2312" w:eastAsia="FangSong_GB2312" w:cs="FangSong_GB2312"/>
          <w:spacing w:val="11"/>
          <w:sz w:val="31"/>
          <w:szCs w:val="31"/>
        </w:rPr>
        <w:t>申请人的经营场所与最近零售点的经营场所异侧存在障</w:t>
      </w:r>
      <w:r>
        <w:rPr>
          <w:rFonts w:ascii="FangSong_GB2312" w:hAnsi="FangSong_GB2312" w:eastAsia="FangSong_GB2312" w:cs="FangSong_GB2312"/>
          <w:spacing w:val="5"/>
          <w:sz w:val="31"/>
          <w:szCs w:val="31"/>
        </w:rPr>
        <w:t>碍物的，测量按直角分段绕过障碍物测量，分段最短距离之和即</w:t>
      </w:r>
      <w:r>
        <w:rPr>
          <w:rFonts w:ascii="FangSong_GB2312" w:hAnsi="FangSong_GB2312" w:eastAsia="FangSong_GB2312" w:cs="FangSong_GB2312"/>
          <w:spacing w:val="4"/>
          <w:sz w:val="31"/>
          <w:szCs w:val="31"/>
        </w:rPr>
        <w:t>为申请人的经营场所与最近零售点的经营场所间的距</w:t>
      </w:r>
      <w:r>
        <w:rPr>
          <w:rFonts w:ascii="FangSong_GB2312" w:hAnsi="FangSong_GB2312" w:eastAsia="FangSong_GB2312" w:cs="FangSong_GB2312"/>
          <w:spacing w:val="3"/>
          <w:sz w:val="31"/>
          <w:szCs w:val="31"/>
        </w:rPr>
        <w:t>离。（如图</w:t>
      </w:r>
      <w:r>
        <w:rPr>
          <w:rFonts w:ascii="FangSong_GB2312" w:hAnsi="FangSong_GB2312" w:eastAsia="FangSong_GB2312" w:cs="FangSong_GB2312"/>
          <w:spacing w:val="1"/>
          <w:sz w:val="31"/>
          <w:szCs w:val="31"/>
        </w:rPr>
        <w:t>4</w:t>
      </w:r>
      <w:r>
        <w:rPr>
          <w:rFonts w:ascii="FangSong_GB2312" w:hAnsi="FangSong_GB2312" w:eastAsia="FangSong_GB2312" w:cs="FangSong_GB2312"/>
          <w:spacing w:val="-60"/>
          <w:sz w:val="31"/>
          <w:szCs w:val="31"/>
        </w:rPr>
        <w:t xml:space="preserve"> </w:t>
      </w:r>
      <w:r>
        <w:rPr>
          <w:rFonts w:ascii="FangSong_GB2312" w:hAnsi="FangSong_GB2312" w:eastAsia="FangSong_GB2312" w:cs="FangSong_GB2312"/>
          <w:spacing w:val="1"/>
          <w:sz w:val="31"/>
          <w:szCs w:val="31"/>
        </w:rPr>
        <w:t>所示）</w:t>
      </w:r>
    </w:p>
    <w:p w14:paraId="479BFF6F">
      <w:pPr>
        <w:spacing w:line="4003" w:lineRule="exact"/>
        <w:ind w:firstLine="303"/>
      </w:pPr>
      <w:r>
        <w:rPr>
          <w:position w:val="-80"/>
        </w:rPr>
        <w:drawing>
          <wp:inline distT="0" distB="0" distL="0" distR="0">
            <wp:extent cx="5219065" cy="254190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28"/>
                    <a:stretch>
                      <a:fillRect/>
                    </a:stretch>
                  </pic:blipFill>
                  <pic:spPr>
                    <a:xfrm>
                      <a:off x="0" y="0"/>
                      <a:ext cx="5219617" cy="2541990"/>
                    </a:xfrm>
                    <a:prstGeom prst="rect">
                      <a:avLst/>
                    </a:prstGeom>
                  </pic:spPr>
                </pic:pic>
              </a:graphicData>
            </a:graphic>
          </wp:inline>
        </w:drawing>
      </w:r>
    </w:p>
    <w:p w14:paraId="1E4A4D8E">
      <w:pPr>
        <w:spacing w:before="50" w:line="225" w:lineRule="auto"/>
        <w:ind w:left="3816"/>
        <w:rPr>
          <w:rFonts w:ascii="FangSong_GB2312" w:hAnsi="FangSong_GB2312" w:eastAsia="FangSong_GB2312" w:cs="FangSong_GB2312"/>
          <w:sz w:val="31"/>
          <w:szCs w:val="31"/>
        </w:rPr>
      </w:pPr>
      <w:r>
        <w:rPr>
          <w:rFonts w:ascii="FangSong_GB2312" w:hAnsi="FangSong_GB2312" w:eastAsia="FangSong_GB2312" w:cs="FangSong_GB2312"/>
          <w:spacing w:val="-10"/>
          <w:sz w:val="31"/>
          <w:szCs w:val="31"/>
        </w:rPr>
        <w:t>（图 4）</w:t>
      </w:r>
    </w:p>
    <w:p w14:paraId="1A7189BA">
      <w:pPr>
        <w:spacing w:line="225" w:lineRule="auto"/>
        <w:rPr>
          <w:rFonts w:ascii="FangSong_GB2312" w:hAnsi="FangSong_GB2312" w:eastAsia="FangSong_GB2312" w:cs="FangSong_GB2312"/>
          <w:sz w:val="31"/>
          <w:szCs w:val="31"/>
        </w:rPr>
        <w:sectPr>
          <w:footerReference r:id="rId20" w:type="default"/>
          <w:pgSz w:w="11906" w:h="16838"/>
          <w:pgMar w:top="400" w:right="1529" w:bottom="1195" w:left="1539" w:header="0" w:footer="829" w:gutter="0"/>
          <w:cols w:space="720" w:num="1"/>
        </w:sectPr>
      </w:pPr>
    </w:p>
    <w:p w14:paraId="079FDDD8">
      <w:pPr>
        <w:pStyle w:val="2"/>
        <w:spacing w:line="255" w:lineRule="auto"/>
      </w:pPr>
    </w:p>
    <w:p w14:paraId="2AD41591">
      <w:pPr>
        <w:pStyle w:val="2"/>
        <w:spacing w:line="256" w:lineRule="auto"/>
      </w:pPr>
    </w:p>
    <w:p w14:paraId="0B605BF0">
      <w:pPr>
        <w:pStyle w:val="2"/>
        <w:spacing w:line="256" w:lineRule="auto"/>
      </w:pPr>
    </w:p>
    <w:p w14:paraId="5B854257">
      <w:pPr>
        <w:pStyle w:val="2"/>
        <w:spacing w:line="256" w:lineRule="auto"/>
      </w:pPr>
    </w:p>
    <w:p w14:paraId="7B788D66">
      <w:pPr>
        <w:pStyle w:val="2"/>
        <w:spacing w:line="256" w:lineRule="auto"/>
      </w:pPr>
    </w:p>
    <w:p w14:paraId="623DA2DD">
      <w:pPr>
        <w:pStyle w:val="2"/>
        <w:spacing w:line="256" w:lineRule="auto"/>
      </w:pPr>
    </w:p>
    <w:p w14:paraId="2A793127">
      <w:pPr>
        <w:pStyle w:val="2"/>
        <w:spacing w:line="256" w:lineRule="auto"/>
      </w:pPr>
    </w:p>
    <w:p w14:paraId="63E35559">
      <w:pPr>
        <w:spacing w:before="101" w:line="296" w:lineRule="auto"/>
        <w:ind w:right="83" w:firstLine="718"/>
        <w:rPr>
          <w:rFonts w:ascii="FangSong_GB2312" w:hAnsi="FangSong_GB2312" w:eastAsia="FangSong_GB2312" w:cs="FangSong_GB2312"/>
          <w:sz w:val="31"/>
          <w:szCs w:val="31"/>
        </w:rPr>
      </w:pPr>
      <w:r>
        <w:rPr>
          <w:rFonts w:ascii="FangSong_GB2312" w:hAnsi="FangSong_GB2312" w:eastAsia="FangSong_GB2312" w:cs="FangSong_GB2312"/>
          <w:spacing w:val="11"/>
          <w:sz w:val="31"/>
          <w:szCs w:val="31"/>
        </w:rPr>
        <w:t>5.</w:t>
      </w:r>
      <w:r>
        <w:rPr>
          <w:rFonts w:ascii="FangSong_GB2312" w:hAnsi="FangSong_GB2312" w:eastAsia="FangSong_GB2312" w:cs="FangSong_GB2312"/>
          <w:spacing w:val="-85"/>
          <w:sz w:val="31"/>
          <w:szCs w:val="31"/>
        </w:rPr>
        <w:t xml:space="preserve"> </w:t>
      </w:r>
      <w:r>
        <w:rPr>
          <w:rFonts w:ascii="FangSong_GB2312" w:hAnsi="FangSong_GB2312" w:eastAsia="FangSong_GB2312" w:cs="FangSong_GB2312"/>
          <w:spacing w:val="11"/>
          <w:sz w:val="31"/>
          <w:szCs w:val="31"/>
        </w:rPr>
        <w:t>申请人的经营场所与最近零售点的经营场所之间道路存</w:t>
      </w:r>
      <w:r>
        <w:rPr>
          <w:rFonts w:ascii="FangSong_GB2312" w:hAnsi="FangSong_GB2312" w:eastAsia="FangSong_GB2312" w:cs="FangSong_GB2312"/>
          <w:spacing w:val="1"/>
          <w:sz w:val="31"/>
          <w:szCs w:val="31"/>
        </w:rPr>
        <w:t>在有转角的，按直角分段最短距离测量。（</w:t>
      </w:r>
      <w:r>
        <w:rPr>
          <w:rFonts w:ascii="FangSong_GB2312" w:hAnsi="FangSong_GB2312" w:eastAsia="FangSong_GB2312" w:cs="FangSong_GB2312"/>
          <w:sz w:val="31"/>
          <w:szCs w:val="31"/>
        </w:rPr>
        <w:t>如图</w:t>
      </w:r>
      <w:r>
        <w:rPr>
          <w:rFonts w:ascii="FangSong_GB2312" w:hAnsi="FangSong_GB2312" w:eastAsia="FangSong_GB2312" w:cs="FangSong_GB2312"/>
          <w:spacing w:val="-45"/>
          <w:sz w:val="31"/>
          <w:szCs w:val="31"/>
        </w:rPr>
        <w:t xml:space="preserve"> </w:t>
      </w:r>
      <w:r>
        <w:rPr>
          <w:rFonts w:ascii="FangSong_GB2312" w:hAnsi="FangSong_GB2312" w:eastAsia="FangSong_GB2312" w:cs="FangSong_GB2312"/>
          <w:sz w:val="31"/>
          <w:szCs w:val="31"/>
        </w:rPr>
        <w:t>5</w:t>
      </w:r>
      <w:r>
        <w:rPr>
          <w:rFonts w:ascii="FangSong_GB2312" w:hAnsi="FangSong_GB2312" w:eastAsia="FangSong_GB2312" w:cs="FangSong_GB2312"/>
          <w:spacing w:val="-61"/>
          <w:sz w:val="31"/>
          <w:szCs w:val="31"/>
        </w:rPr>
        <w:t xml:space="preserve"> </w:t>
      </w:r>
      <w:r>
        <w:rPr>
          <w:rFonts w:ascii="FangSong_GB2312" w:hAnsi="FangSong_GB2312" w:eastAsia="FangSong_GB2312" w:cs="FangSong_GB2312"/>
          <w:sz w:val="31"/>
          <w:szCs w:val="31"/>
        </w:rPr>
        <w:t>所示）</w:t>
      </w:r>
    </w:p>
    <w:p w14:paraId="702BCE59">
      <w:pPr>
        <w:spacing w:line="5671" w:lineRule="exact"/>
        <w:ind w:firstLine="778"/>
      </w:pPr>
      <w:r>
        <w:rPr>
          <w:position w:val="-113"/>
        </w:rPr>
        <w:drawing>
          <wp:inline distT="0" distB="0" distL="0" distR="0">
            <wp:extent cx="5054600" cy="360108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9"/>
                    <a:stretch>
                      <a:fillRect/>
                    </a:stretch>
                  </pic:blipFill>
                  <pic:spPr>
                    <a:xfrm>
                      <a:off x="0" y="0"/>
                      <a:ext cx="5055027" cy="3601155"/>
                    </a:xfrm>
                    <a:prstGeom prst="rect">
                      <a:avLst/>
                    </a:prstGeom>
                  </pic:spPr>
                </pic:pic>
              </a:graphicData>
            </a:graphic>
          </wp:inline>
        </w:drawing>
      </w:r>
    </w:p>
    <w:p w14:paraId="2018C5B4">
      <w:pPr>
        <w:spacing w:before="55" w:line="495" w:lineRule="exact"/>
        <w:ind w:left="3791"/>
        <w:rPr>
          <w:rFonts w:ascii="FangSong_GB2312" w:hAnsi="FangSong_GB2312" w:eastAsia="FangSong_GB2312" w:cs="FangSong_GB2312"/>
          <w:sz w:val="31"/>
          <w:szCs w:val="31"/>
        </w:rPr>
      </w:pPr>
      <w:r>
        <w:rPr>
          <w:rFonts w:ascii="方正小标宋简体" w:hAnsi="方正小标宋简体" w:eastAsia="方正小标宋简体" w:cs="方正小标宋简体"/>
          <w:spacing w:val="-13"/>
          <w:position w:val="4"/>
          <w:sz w:val="31"/>
          <w:szCs w:val="31"/>
        </w:rPr>
        <w:t xml:space="preserve">（ </w:t>
      </w:r>
      <w:r>
        <w:rPr>
          <w:rFonts w:ascii="FangSong_GB2312" w:hAnsi="FangSong_GB2312" w:eastAsia="FangSong_GB2312" w:cs="FangSong_GB2312"/>
          <w:spacing w:val="-13"/>
          <w:position w:val="4"/>
          <w:sz w:val="31"/>
          <w:szCs w:val="31"/>
        </w:rPr>
        <w:t>图</w:t>
      </w:r>
      <w:r>
        <w:rPr>
          <w:rFonts w:ascii="FangSong_GB2312" w:hAnsi="FangSong_GB2312" w:eastAsia="FangSong_GB2312" w:cs="FangSong_GB2312"/>
          <w:spacing w:val="-46"/>
          <w:position w:val="4"/>
          <w:sz w:val="31"/>
          <w:szCs w:val="31"/>
        </w:rPr>
        <w:t xml:space="preserve"> </w:t>
      </w:r>
      <w:r>
        <w:rPr>
          <w:rFonts w:ascii="FangSong_GB2312" w:hAnsi="FangSong_GB2312" w:eastAsia="FangSong_GB2312" w:cs="FangSong_GB2312"/>
          <w:spacing w:val="-13"/>
          <w:position w:val="4"/>
          <w:sz w:val="31"/>
          <w:szCs w:val="31"/>
        </w:rPr>
        <w:t>5）</w:t>
      </w:r>
    </w:p>
    <w:p w14:paraId="228AC65B">
      <w:pPr>
        <w:spacing w:before="151" w:line="290" w:lineRule="auto"/>
        <w:ind w:left="1" w:right="84" w:firstLine="650"/>
        <w:rPr>
          <w:rFonts w:ascii="FangSong_GB2312" w:hAnsi="FangSong_GB2312" w:eastAsia="FangSong_GB2312" w:cs="FangSong_GB2312"/>
          <w:sz w:val="31"/>
          <w:szCs w:val="31"/>
        </w:rPr>
      </w:pPr>
      <w:r>
        <w:rPr>
          <w:rFonts w:ascii="FangSong_GB2312" w:hAnsi="FangSong_GB2312" w:eastAsia="FangSong_GB2312" w:cs="FangSong_GB2312"/>
          <w:spacing w:val="4"/>
          <w:sz w:val="31"/>
          <w:szCs w:val="31"/>
        </w:rPr>
        <w:t>6.以中学、小学、幼儿园进出口通道为参照点的，参照上述</w:t>
      </w:r>
      <w:r>
        <w:rPr>
          <w:rFonts w:ascii="FangSong_GB2312" w:hAnsi="FangSong_GB2312" w:eastAsia="FangSong_GB2312" w:cs="FangSong_GB2312"/>
          <w:sz w:val="31"/>
          <w:szCs w:val="31"/>
        </w:rPr>
        <w:t>方式进行测量。</w:t>
      </w:r>
    </w:p>
    <w:p w14:paraId="3DFEB180">
      <w:pPr>
        <w:spacing w:before="195" w:line="276" w:lineRule="auto"/>
        <w:ind w:firstLine="651"/>
        <w:rPr>
          <w:rFonts w:ascii="FangSong_GB2312" w:hAnsi="FangSong_GB2312" w:eastAsia="FangSong_GB2312" w:cs="FangSong_GB2312"/>
          <w:sz w:val="31"/>
          <w:szCs w:val="31"/>
        </w:rPr>
      </w:pPr>
      <w:r>
        <w:rPr>
          <w:rFonts w:ascii="FangSong_GB2312" w:hAnsi="FangSong_GB2312" w:eastAsia="FangSong_GB2312" w:cs="FangSong_GB2312"/>
          <w:spacing w:val="-1"/>
          <w:sz w:val="31"/>
          <w:szCs w:val="31"/>
        </w:rPr>
        <w:t>7.</w:t>
      </w:r>
      <w:r>
        <w:rPr>
          <w:rFonts w:ascii="FangSong_GB2312" w:hAnsi="FangSong_GB2312" w:eastAsia="FangSong_GB2312" w:cs="FangSong_GB2312"/>
          <w:spacing w:val="67"/>
          <w:sz w:val="31"/>
          <w:szCs w:val="31"/>
        </w:rPr>
        <w:t xml:space="preserve"> </w:t>
      </w:r>
      <w:r>
        <w:rPr>
          <w:rFonts w:ascii="FangSong_GB2312" w:hAnsi="FangSong_GB2312" w:eastAsia="FangSong_GB2312" w:cs="FangSong_GB2312"/>
          <w:spacing w:val="-1"/>
          <w:sz w:val="31"/>
          <w:szCs w:val="31"/>
        </w:rPr>
        <w:t>申请人的经营场所门面多面（多间）贯通且多面经营的，</w:t>
      </w:r>
      <w:r>
        <w:rPr>
          <w:rFonts w:ascii="FangSong_GB2312" w:hAnsi="FangSong_GB2312" w:eastAsia="FangSong_GB2312" w:cs="FangSong_GB2312"/>
          <w:spacing w:val="7"/>
          <w:sz w:val="31"/>
          <w:szCs w:val="31"/>
        </w:rPr>
        <w:t>取与最近零售点经营场所营业大门中心之间最短距离进</w:t>
      </w:r>
      <w:r>
        <w:rPr>
          <w:rFonts w:ascii="FangSong_GB2312" w:hAnsi="FangSong_GB2312" w:eastAsia="FangSong_GB2312" w:cs="FangSong_GB2312"/>
          <w:spacing w:val="6"/>
          <w:sz w:val="31"/>
          <w:szCs w:val="31"/>
        </w:rPr>
        <w:t>行测量。</w:t>
      </w:r>
    </w:p>
    <w:p w14:paraId="5182CC8A">
      <w:pPr>
        <w:spacing w:before="194" w:line="297" w:lineRule="auto"/>
        <w:ind w:left="3" w:right="81" w:firstLine="648"/>
        <w:rPr>
          <w:rFonts w:ascii="FangSong_GB2312" w:hAnsi="FangSong_GB2312" w:eastAsia="FangSong_GB2312" w:cs="FangSong_GB2312"/>
          <w:sz w:val="31"/>
          <w:szCs w:val="31"/>
        </w:rPr>
      </w:pPr>
      <w:r>
        <w:rPr>
          <w:rFonts w:ascii="FangSong_GB2312" w:hAnsi="FangSong_GB2312" w:eastAsia="FangSong_GB2312" w:cs="FangSong_GB2312"/>
          <w:spacing w:val="4"/>
          <w:sz w:val="31"/>
          <w:szCs w:val="31"/>
        </w:rPr>
        <w:t>8.市场、封闭式小区内、广场等区域零售点间距测量方法均</w:t>
      </w:r>
      <w:r>
        <w:rPr>
          <w:rFonts w:ascii="FangSong_GB2312" w:hAnsi="FangSong_GB2312" w:eastAsia="FangSong_GB2312" w:cs="FangSong_GB2312"/>
          <w:spacing w:val="9"/>
          <w:sz w:val="31"/>
          <w:szCs w:val="31"/>
        </w:rPr>
        <w:t>以原设计道路、人行通道行人正常安全行走的最短距离进行测</w:t>
      </w:r>
      <w:r>
        <w:rPr>
          <w:rFonts w:ascii="FangSong_GB2312" w:hAnsi="FangSong_GB2312" w:eastAsia="FangSong_GB2312" w:cs="FangSong_GB2312"/>
          <w:spacing w:val="-18"/>
          <w:sz w:val="31"/>
          <w:szCs w:val="31"/>
        </w:rPr>
        <w:t>量。</w:t>
      </w:r>
    </w:p>
    <w:p w14:paraId="2EAE5832">
      <w:pPr>
        <w:spacing w:before="210" w:line="290" w:lineRule="auto"/>
        <w:ind w:left="3" w:right="81" w:firstLine="712"/>
        <w:rPr>
          <w:rFonts w:ascii="FangSong_GB2312" w:hAnsi="FangSong_GB2312" w:eastAsia="FangSong_GB2312" w:cs="FangSong_GB2312"/>
          <w:sz w:val="31"/>
          <w:szCs w:val="31"/>
        </w:rPr>
      </w:pPr>
      <w:r>
        <w:rPr>
          <w:rFonts w:ascii="FangSong_GB2312" w:hAnsi="FangSong_GB2312" w:eastAsia="FangSong_GB2312" w:cs="FangSong_GB2312"/>
          <w:spacing w:val="10"/>
          <w:sz w:val="31"/>
          <w:szCs w:val="31"/>
        </w:rPr>
        <w:t>9.特殊地形测量：</w:t>
      </w:r>
      <w:r>
        <w:rPr>
          <w:rFonts w:ascii="FangSong_GB2312" w:hAnsi="FangSong_GB2312" w:eastAsia="FangSong_GB2312" w:cs="FangSong_GB2312"/>
          <w:spacing w:val="-68"/>
          <w:sz w:val="31"/>
          <w:szCs w:val="31"/>
        </w:rPr>
        <w:t xml:space="preserve"> </w:t>
      </w:r>
      <w:r>
        <w:rPr>
          <w:rFonts w:ascii="FangSong_GB2312" w:hAnsi="FangSong_GB2312" w:eastAsia="FangSong_GB2312" w:cs="FangSong_GB2312"/>
          <w:spacing w:val="10"/>
          <w:sz w:val="31"/>
          <w:szCs w:val="31"/>
        </w:rPr>
        <w:t>因地形、地貌或设计等原因导致道路、</w:t>
      </w:r>
      <w:r>
        <w:rPr>
          <w:rFonts w:ascii="FangSong_GB2312" w:hAnsi="FangSong_GB2312" w:eastAsia="FangSong_GB2312" w:cs="FangSong_GB2312"/>
          <w:spacing w:val="5"/>
          <w:sz w:val="31"/>
          <w:szCs w:val="31"/>
        </w:rPr>
        <w:t>通道呈不规则形态，通过前述方法无法测量的，取可安全通行路</w:t>
      </w:r>
    </w:p>
    <w:p w14:paraId="7A6E6F5A">
      <w:pPr>
        <w:spacing w:line="290" w:lineRule="auto"/>
        <w:rPr>
          <w:rFonts w:ascii="FangSong_GB2312" w:hAnsi="FangSong_GB2312" w:eastAsia="FangSong_GB2312" w:cs="FangSong_GB2312"/>
          <w:sz w:val="31"/>
          <w:szCs w:val="31"/>
        </w:rPr>
        <w:sectPr>
          <w:footerReference r:id="rId21" w:type="default"/>
          <w:pgSz w:w="11906" w:h="16838"/>
          <w:pgMar w:top="400" w:right="1449" w:bottom="1195" w:left="1547" w:header="0" w:footer="831" w:gutter="0"/>
          <w:cols w:space="720" w:num="1"/>
        </w:sectPr>
      </w:pPr>
    </w:p>
    <w:p w14:paraId="0FE71DF2">
      <w:pPr>
        <w:pStyle w:val="2"/>
        <w:spacing w:line="256" w:lineRule="auto"/>
      </w:pPr>
    </w:p>
    <w:p w14:paraId="44916BA6">
      <w:pPr>
        <w:pStyle w:val="2"/>
        <w:spacing w:line="256" w:lineRule="auto"/>
      </w:pPr>
    </w:p>
    <w:p w14:paraId="52B910A0">
      <w:pPr>
        <w:pStyle w:val="2"/>
        <w:spacing w:line="256" w:lineRule="auto"/>
      </w:pPr>
    </w:p>
    <w:p w14:paraId="7D0E855E">
      <w:pPr>
        <w:pStyle w:val="2"/>
        <w:spacing w:line="256" w:lineRule="auto"/>
      </w:pPr>
    </w:p>
    <w:p w14:paraId="642F0D0B">
      <w:pPr>
        <w:pStyle w:val="2"/>
        <w:spacing w:line="256" w:lineRule="auto"/>
      </w:pPr>
    </w:p>
    <w:p w14:paraId="040880EA">
      <w:pPr>
        <w:pStyle w:val="2"/>
        <w:spacing w:line="256" w:lineRule="auto"/>
      </w:pPr>
    </w:p>
    <w:p w14:paraId="7EC332F2">
      <w:pPr>
        <w:pStyle w:val="2"/>
        <w:spacing w:line="257" w:lineRule="auto"/>
      </w:pPr>
    </w:p>
    <w:p w14:paraId="50627054">
      <w:pPr>
        <w:spacing w:before="101" w:line="221" w:lineRule="auto"/>
        <w:ind w:left="12"/>
        <w:rPr>
          <w:rFonts w:ascii="FangSong_GB2312" w:hAnsi="FangSong_GB2312" w:eastAsia="FangSong_GB2312" w:cs="FangSong_GB2312"/>
          <w:sz w:val="31"/>
          <w:szCs w:val="31"/>
        </w:rPr>
      </w:pPr>
      <w:r>
        <w:rPr>
          <w:rFonts w:ascii="FangSong_GB2312" w:hAnsi="FangSong_GB2312" w:eastAsia="FangSong_GB2312" w:cs="FangSong_GB2312"/>
          <w:spacing w:val="4"/>
          <w:sz w:val="31"/>
          <w:szCs w:val="31"/>
        </w:rPr>
        <w:t>径最短距离进行测量。</w:t>
      </w:r>
    </w:p>
    <w:p w14:paraId="3DFA9B6E">
      <w:pPr>
        <w:spacing w:before="229" w:line="316" w:lineRule="auto"/>
        <w:ind w:left="20" w:right="81" w:firstLine="718"/>
        <w:jc w:val="both"/>
        <w:rPr>
          <w:rFonts w:ascii="FangSong_GB2312" w:hAnsi="FangSong_GB2312" w:eastAsia="FangSong_GB2312" w:cs="FangSong_GB2312"/>
          <w:sz w:val="31"/>
          <w:szCs w:val="31"/>
        </w:rPr>
      </w:pPr>
      <w:r>
        <w:rPr>
          <w:rFonts w:ascii="FangSong_GB2312" w:hAnsi="FangSong_GB2312" w:eastAsia="FangSong_GB2312" w:cs="FangSong_GB2312"/>
          <w:spacing w:val="16"/>
          <w:sz w:val="31"/>
          <w:szCs w:val="31"/>
        </w:rPr>
        <w:t>10.</w:t>
      </w:r>
      <w:r>
        <w:rPr>
          <w:rFonts w:ascii="FangSong_GB2312" w:hAnsi="FangSong_GB2312" w:eastAsia="FangSong_GB2312" w:cs="FangSong_GB2312"/>
          <w:spacing w:val="-64"/>
          <w:sz w:val="31"/>
          <w:szCs w:val="31"/>
        </w:rPr>
        <w:t xml:space="preserve"> </w:t>
      </w:r>
      <w:r>
        <w:rPr>
          <w:rFonts w:ascii="FangSong_GB2312" w:hAnsi="FangSong_GB2312" w:eastAsia="FangSong_GB2312" w:cs="FangSong_GB2312"/>
          <w:spacing w:val="16"/>
          <w:sz w:val="31"/>
          <w:szCs w:val="31"/>
        </w:rPr>
        <w:t>申请人的经营场所与最近零售点的经营场所之间有台</w:t>
      </w:r>
      <w:r>
        <w:rPr>
          <w:rFonts w:ascii="FangSong_GB2312" w:hAnsi="FangSong_GB2312" w:eastAsia="FangSong_GB2312" w:cs="FangSong_GB2312"/>
          <w:spacing w:val="5"/>
          <w:sz w:val="31"/>
          <w:szCs w:val="31"/>
        </w:rPr>
        <w:t>阶、楼梯的，以其平面坡长进行测量；有电梯的，以层高进行测</w:t>
      </w:r>
      <w:r>
        <w:rPr>
          <w:rFonts w:ascii="FangSong_GB2312" w:hAnsi="FangSong_GB2312" w:eastAsia="FangSong_GB2312" w:cs="FangSong_GB2312"/>
          <w:spacing w:val="-2"/>
          <w:sz w:val="31"/>
          <w:szCs w:val="31"/>
        </w:rPr>
        <w:t>量；楼梯与电梯并存的，</w:t>
      </w:r>
      <w:r>
        <w:rPr>
          <w:rFonts w:ascii="FangSong_GB2312" w:hAnsi="FangSong_GB2312" w:eastAsia="FangSong_GB2312" w:cs="FangSong_GB2312"/>
          <w:spacing w:val="-64"/>
          <w:sz w:val="31"/>
          <w:szCs w:val="31"/>
        </w:rPr>
        <w:t xml:space="preserve"> </w:t>
      </w:r>
      <w:r>
        <w:rPr>
          <w:rFonts w:ascii="FangSong_GB2312" w:hAnsi="FangSong_GB2312" w:eastAsia="FangSong_GB2312" w:cs="FangSong_GB2312"/>
          <w:spacing w:val="-2"/>
          <w:sz w:val="31"/>
          <w:szCs w:val="31"/>
        </w:rPr>
        <w:t>以最短距离的为准。（如图</w:t>
      </w:r>
      <w:r>
        <w:rPr>
          <w:rFonts w:ascii="FangSong_GB2312" w:hAnsi="FangSong_GB2312" w:eastAsia="FangSong_GB2312" w:cs="FangSong_GB2312"/>
          <w:spacing w:val="-48"/>
          <w:sz w:val="31"/>
          <w:szCs w:val="31"/>
        </w:rPr>
        <w:t xml:space="preserve"> </w:t>
      </w:r>
      <w:r>
        <w:rPr>
          <w:rFonts w:ascii="FangSong_GB2312" w:hAnsi="FangSong_GB2312" w:eastAsia="FangSong_GB2312" w:cs="FangSong_GB2312"/>
          <w:spacing w:val="-2"/>
          <w:sz w:val="31"/>
          <w:szCs w:val="31"/>
        </w:rPr>
        <w:t>6</w:t>
      </w:r>
      <w:r>
        <w:rPr>
          <w:rFonts w:ascii="FangSong_GB2312" w:hAnsi="FangSong_GB2312" w:eastAsia="FangSong_GB2312" w:cs="FangSong_GB2312"/>
          <w:spacing w:val="-61"/>
          <w:sz w:val="31"/>
          <w:szCs w:val="31"/>
        </w:rPr>
        <w:t xml:space="preserve"> </w:t>
      </w:r>
      <w:r>
        <w:rPr>
          <w:rFonts w:ascii="FangSong_GB2312" w:hAnsi="FangSong_GB2312" w:eastAsia="FangSong_GB2312" w:cs="FangSong_GB2312"/>
          <w:spacing w:val="-2"/>
          <w:sz w:val="31"/>
          <w:szCs w:val="31"/>
        </w:rPr>
        <w:t>所示）</w:t>
      </w:r>
    </w:p>
    <w:p w14:paraId="721E43D5">
      <w:pPr>
        <w:spacing w:line="3326" w:lineRule="exact"/>
        <w:ind w:firstLine="736"/>
      </w:pPr>
      <w:r>
        <w:rPr>
          <w:position w:val="-66"/>
        </w:rPr>
        <w:drawing>
          <wp:inline distT="0" distB="0" distL="0" distR="0">
            <wp:extent cx="4679950" cy="211201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30"/>
                    <a:stretch>
                      <a:fillRect/>
                    </a:stretch>
                  </pic:blipFill>
                  <pic:spPr>
                    <a:xfrm>
                      <a:off x="0" y="0"/>
                      <a:ext cx="4680129" cy="2112230"/>
                    </a:xfrm>
                    <a:prstGeom prst="rect">
                      <a:avLst/>
                    </a:prstGeom>
                  </pic:spPr>
                </pic:pic>
              </a:graphicData>
            </a:graphic>
          </wp:inline>
        </w:drawing>
      </w:r>
    </w:p>
    <w:p w14:paraId="75405453">
      <w:pPr>
        <w:spacing w:before="50" w:line="225" w:lineRule="auto"/>
        <w:ind w:left="3825"/>
        <w:rPr>
          <w:rFonts w:ascii="FangSong_GB2312" w:hAnsi="FangSong_GB2312" w:eastAsia="FangSong_GB2312" w:cs="FangSong_GB2312"/>
          <w:sz w:val="31"/>
          <w:szCs w:val="31"/>
        </w:rPr>
      </w:pPr>
      <w:r>
        <w:rPr>
          <w:rFonts w:ascii="FangSong_GB2312" w:hAnsi="FangSong_GB2312" w:eastAsia="FangSong_GB2312" w:cs="FangSong_GB2312"/>
          <w:spacing w:val="-15"/>
          <w:sz w:val="31"/>
          <w:szCs w:val="31"/>
        </w:rPr>
        <w:t>（</w:t>
      </w:r>
      <w:r>
        <w:rPr>
          <w:rFonts w:ascii="FangSong_GB2312" w:hAnsi="FangSong_GB2312" w:eastAsia="FangSong_GB2312" w:cs="FangSong_GB2312"/>
          <w:spacing w:val="-98"/>
          <w:sz w:val="31"/>
          <w:szCs w:val="31"/>
        </w:rPr>
        <w:t xml:space="preserve"> </w:t>
      </w:r>
      <w:r>
        <w:rPr>
          <w:rFonts w:ascii="FangSong_GB2312" w:hAnsi="FangSong_GB2312" w:eastAsia="FangSong_GB2312" w:cs="FangSong_GB2312"/>
          <w:spacing w:val="-15"/>
          <w:sz w:val="31"/>
          <w:szCs w:val="31"/>
        </w:rPr>
        <w:t>图</w:t>
      </w:r>
      <w:r>
        <w:rPr>
          <w:rFonts w:ascii="FangSong_GB2312" w:hAnsi="FangSong_GB2312" w:eastAsia="FangSong_GB2312" w:cs="FangSong_GB2312"/>
          <w:spacing w:val="-48"/>
          <w:sz w:val="31"/>
          <w:szCs w:val="31"/>
        </w:rPr>
        <w:t xml:space="preserve"> </w:t>
      </w:r>
      <w:r>
        <w:rPr>
          <w:rFonts w:ascii="FangSong_GB2312" w:hAnsi="FangSong_GB2312" w:eastAsia="FangSong_GB2312" w:cs="FangSong_GB2312"/>
          <w:spacing w:val="-15"/>
          <w:sz w:val="31"/>
          <w:szCs w:val="31"/>
        </w:rPr>
        <w:t>6）</w:t>
      </w:r>
    </w:p>
    <w:p w14:paraId="29969076">
      <w:pPr>
        <w:spacing w:before="191" w:line="323" w:lineRule="auto"/>
        <w:ind w:left="11" w:firstLine="726"/>
        <w:rPr>
          <w:rFonts w:ascii="FangSong_GB2312" w:hAnsi="FangSong_GB2312" w:eastAsia="FangSong_GB2312" w:cs="FangSong_GB2312"/>
          <w:sz w:val="31"/>
          <w:szCs w:val="31"/>
        </w:rPr>
      </w:pPr>
      <w:r>
        <w:rPr>
          <w:rFonts w:ascii="FangSong_GB2312" w:hAnsi="FangSong_GB2312" w:eastAsia="FangSong_GB2312" w:cs="FangSong_GB2312"/>
          <w:spacing w:val="17"/>
          <w:sz w:val="31"/>
          <w:szCs w:val="31"/>
        </w:rPr>
        <w:t>11.</w:t>
      </w:r>
      <w:r>
        <w:rPr>
          <w:rFonts w:ascii="FangSong_GB2312" w:hAnsi="FangSong_GB2312" w:eastAsia="FangSong_GB2312" w:cs="FangSong_GB2312"/>
          <w:spacing w:val="-71"/>
          <w:sz w:val="31"/>
          <w:szCs w:val="31"/>
        </w:rPr>
        <w:t xml:space="preserve"> </w:t>
      </w:r>
      <w:r>
        <w:rPr>
          <w:rFonts w:ascii="FangSong_GB2312" w:hAnsi="FangSong_GB2312" w:eastAsia="FangSong_GB2312" w:cs="FangSong_GB2312"/>
          <w:spacing w:val="17"/>
          <w:sz w:val="31"/>
          <w:szCs w:val="31"/>
        </w:rPr>
        <w:t>间距测量时测量值超出零售点设置标准要求</w:t>
      </w:r>
      <w:r>
        <w:rPr>
          <w:rFonts w:ascii="FangSong_GB2312" w:hAnsi="FangSong_GB2312" w:eastAsia="FangSong_GB2312" w:cs="FangSong_GB2312"/>
          <w:spacing w:val="-36"/>
          <w:sz w:val="31"/>
          <w:szCs w:val="31"/>
        </w:rPr>
        <w:t xml:space="preserve"> </w:t>
      </w:r>
      <w:r>
        <w:rPr>
          <w:rFonts w:ascii="FangSong_GB2312" w:hAnsi="FangSong_GB2312" w:eastAsia="FangSong_GB2312" w:cs="FangSong_GB2312"/>
          <w:spacing w:val="17"/>
          <w:sz w:val="31"/>
          <w:szCs w:val="31"/>
        </w:rPr>
        <w:t>20%以上</w:t>
      </w:r>
      <w:r>
        <w:rPr>
          <w:rFonts w:ascii="FangSong_GB2312" w:hAnsi="FangSong_GB2312" w:eastAsia="FangSong_GB2312" w:cs="FangSong_GB2312"/>
          <w:spacing w:val="3"/>
          <w:sz w:val="31"/>
          <w:szCs w:val="31"/>
        </w:rPr>
        <w:t>的，注明“</w:t>
      </w:r>
      <w:r>
        <w:rPr>
          <w:rFonts w:ascii="FangSong_GB2312" w:hAnsi="FangSong_GB2312" w:eastAsia="FangSong_GB2312" w:cs="FangSong_GB2312"/>
          <w:spacing w:val="-91"/>
          <w:sz w:val="31"/>
          <w:szCs w:val="31"/>
        </w:rPr>
        <w:t xml:space="preserve"> </w:t>
      </w:r>
      <w:r>
        <w:rPr>
          <w:rFonts w:ascii="FangSong_GB2312" w:hAnsi="FangSong_GB2312" w:eastAsia="FangSong_GB2312" w:cs="FangSong_GB2312"/>
          <w:spacing w:val="3"/>
          <w:sz w:val="31"/>
          <w:szCs w:val="31"/>
        </w:rPr>
        <w:t>内无零售点”即可（如规划申请人的经营场所与最近</w:t>
      </w:r>
      <w:r>
        <w:rPr>
          <w:rFonts w:ascii="FangSong_GB2312" w:hAnsi="FangSong_GB2312" w:eastAsia="FangSong_GB2312" w:cs="FangSong_GB2312"/>
          <w:spacing w:val="-2"/>
          <w:sz w:val="31"/>
          <w:szCs w:val="31"/>
        </w:rPr>
        <w:t>零售点的经营场所间距要达到</w:t>
      </w:r>
      <w:r>
        <w:rPr>
          <w:rFonts w:ascii="FangSong_GB2312" w:hAnsi="FangSong_GB2312" w:eastAsia="FangSong_GB2312" w:cs="FangSong_GB2312"/>
          <w:spacing w:val="-80"/>
          <w:sz w:val="31"/>
          <w:szCs w:val="31"/>
        </w:rPr>
        <w:t xml:space="preserve"> </w:t>
      </w:r>
      <w:r>
        <w:rPr>
          <w:rFonts w:ascii="FangSong_GB2312" w:hAnsi="FangSong_GB2312" w:eastAsia="FangSong_GB2312" w:cs="FangSong_GB2312"/>
          <w:spacing w:val="-2"/>
          <w:sz w:val="31"/>
          <w:szCs w:val="31"/>
        </w:rPr>
        <w:t>200</w:t>
      </w:r>
      <w:r>
        <w:rPr>
          <w:rFonts w:ascii="FangSong_GB2312" w:hAnsi="FangSong_GB2312" w:eastAsia="FangSong_GB2312" w:cs="FangSong_GB2312"/>
          <w:spacing w:val="-82"/>
          <w:sz w:val="31"/>
          <w:szCs w:val="31"/>
        </w:rPr>
        <w:t xml:space="preserve"> </w:t>
      </w:r>
      <w:r>
        <w:rPr>
          <w:rFonts w:ascii="FangSong_GB2312" w:hAnsi="FangSong_GB2312" w:eastAsia="FangSong_GB2312" w:cs="FangSong_GB2312"/>
          <w:spacing w:val="-2"/>
          <w:sz w:val="31"/>
          <w:szCs w:val="31"/>
        </w:rPr>
        <w:t>米以上，测量时超过</w:t>
      </w:r>
      <w:r>
        <w:rPr>
          <w:rFonts w:ascii="FangSong_GB2312" w:hAnsi="FangSong_GB2312" w:eastAsia="FangSong_GB2312" w:cs="FangSong_GB2312"/>
          <w:spacing w:val="-79"/>
          <w:sz w:val="31"/>
          <w:szCs w:val="31"/>
        </w:rPr>
        <w:t xml:space="preserve"> </w:t>
      </w:r>
      <w:r>
        <w:rPr>
          <w:rFonts w:ascii="FangSong_GB2312" w:hAnsi="FangSong_GB2312" w:eastAsia="FangSong_GB2312" w:cs="FangSong_GB2312"/>
          <w:spacing w:val="-2"/>
          <w:sz w:val="31"/>
          <w:szCs w:val="31"/>
        </w:rPr>
        <w:t>240</w:t>
      </w:r>
      <w:r>
        <w:rPr>
          <w:rFonts w:ascii="FangSong_GB2312" w:hAnsi="FangSong_GB2312" w:eastAsia="FangSong_GB2312" w:cs="FangSong_GB2312"/>
          <w:spacing w:val="-83"/>
          <w:sz w:val="31"/>
          <w:szCs w:val="31"/>
        </w:rPr>
        <w:t xml:space="preserve"> </w:t>
      </w:r>
      <w:r>
        <w:rPr>
          <w:rFonts w:ascii="FangSong_GB2312" w:hAnsi="FangSong_GB2312" w:eastAsia="FangSong_GB2312" w:cs="FangSong_GB2312"/>
          <w:spacing w:val="-2"/>
          <w:sz w:val="31"/>
          <w:szCs w:val="31"/>
        </w:rPr>
        <w:t>米</w:t>
      </w:r>
      <w:r>
        <w:rPr>
          <w:rFonts w:ascii="FangSong_GB2312" w:hAnsi="FangSong_GB2312" w:eastAsia="FangSong_GB2312" w:cs="FangSong_GB2312"/>
          <w:spacing w:val="-3"/>
          <w:sz w:val="31"/>
          <w:szCs w:val="31"/>
        </w:rPr>
        <w:t>的，</w:t>
      </w:r>
      <w:r>
        <w:rPr>
          <w:rFonts w:ascii="FangSong_GB2312" w:hAnsi="FangSong_GB2312" w:eastAsia="FangSong_GB2312" w:cs="FangSong_GB2312"/>
          <w:spacing w:val="-10"/>
          <w:sz w:val="31"/>
          <w:szCs w:val="31"/>
        </w:rPr>
        <w:t>可注明“240</w:t>
      </w:r>
      <w:r>
        <w:rPr>
          <w:rFonts w:ascii="FangSong_GB2312" w:hAnsi="FangSong_GB2312" w:eastAsia="FangSong_GB2312" w:cs="FangSong_GB2312"/>
          <w:spacing w:val="-37"/>
          <w:sz w:val="31"/>
          <w:szCs w:val="31"/>
        </w:rPr>
        <w:t xml:space="preserve"> </w:t>
      </w:r>
      <w:r>
        <w:rPr>
          <w:rFonts w:ascii="FangSong_GB2312" w:hAnsi="FangSong_GB2312" w:eastAsia="FangSong_GB2312" w:cs="FangSong_GB2312"/>
          <w:spacing w:val="-10"/>
          <w:sz w:val="31"/>
          <w:szCs w:val="31"/>
        </w:rPr>
        <w:t>米范围内无零售点”）。</w:t>
      </w:r>
    </w:p>
    <w:p w14:paraId="167FB628">
      <w:pPr>
        <w:spacing w:before="233" w:line="220" w:lineRule="auto"/>
        <w:ind w:left="738"/>
        <w:rPr>
          <w:rFonts w:ascii="FangSong_GB2312" w:hAnsi="FangSong_GB2312" w:eastAsia="FangSong_GB2312" w:cs="FangSong_GB2312"/>
          <w:sz w:val="31"/>
          <w:szCs w:val="31"/>
        </w:rPr>
      </w:pPr>
      <w:r>
        <w:rPr>
          <w:rFonts w:ascii="FangSong_GB2312" w:hAnsi="FangSong_GB2312" w:eastAsia="FangSong_GB2312" w:cs="FangSong_GB2312"/>
          <w:spacing w:val="5"/>
          <w:sz w:val="31"/>
          <w:szCs w:val="31"/>
        </w:rPr>
        <w:t>12.测量工具使用符合国家统一标准的测量工具。</w:t>
      </w:r>
    </w:p>
    <w:p w14:paraId="664060F1">
      <w:pPr>
        <w:spacing w:before="5"/>
      </w:pPr>
    </w:p>
    <w:p w14:paraId="4C3A58AA">
      <w:pPr>
        <w:spacing w:before="5"/>
      </w:pPr>
    </w:p>
    <w:p w14:paraId="3CA6E4F6">
      <w:pPr>
        <w:spacing w:before="5"/>
      </w:pPr>
    </w:p>
    <w:p w14:paraId="09741EBB">
      <w:pPr>
        <w:spacing w:before="5"/>
      </w:pPr>
    </w:p>
    <w:p w14:paraId="4139FABB">
      <w:pPr>
        <w:spacing w:before="4"/>
      </w:pPr>
    </w:p>
    <w:p w14:paraId="6B2F572A">
      <w:pPr>
        <w:spacing w:before="4"/>
      </w:pPr>
    </w:p>
    <w:p w14:paraId="78F2A58E">
      <w:pPr>
        <w:spacing w:before="4"/>
      </w:pPr>
    </w:p>
    <w:p w14:paraId="7385D4A6">
      <w:pPr>
        <w:spacing w:before="4"/>
      </w:pPr>
    </w:p>
    <w:p w14:paraId="2F518EB4">
      <w:pPr>
        <w:spacing w:before="4"/>
      </w:pPr>
    </w:p>
    <w:p w14:paraId="7D9B8DB8">
      <w:pPr>
        <w:spacing w:before="4"/>
      </w:pPr>
    </w:p>
    <w:p w14:paraId="5E0EDB92">
      <w:pPr>
        <w:spacing w:before="4"/>
      </w:pPr>
    </w:p>
    <w:tbl>
      <w:tblPr>
        <w:tblStyle w:val="5"/>
        <w:tblW w:w="8843"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738"/>
        <w:gridCol w:w="4105"/>
      </w:tblGrid>
      <w:tr w14:paraId="58EEBB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53" w:hRule="atLeast"/>
        </w:trPr>
        <w:tc>
          <w:tcPr>
            <w:tcW w:w="4738" w:type="dxa"/>
            <w:tcBorders>
              <w:top w:val="single" w:color="000000" w:sz="2" w:space="0"/>
              <w:bottom w:val="single" w:color="000000" w:sz="2" w:space="0"/>
            </w:tcBorders>
            <w:vAlign w:val="top"/>
          </w:tcPr>
          <w:p w14:paraId="656BD3F2">
            <w:pPr>
              <w:spacing w:before="155" w:line="219" w:lineRule="auto"/>
              <w:ind w:left="345"/>
              <w:rPr>
                <w:rFonts w:ascii="FangSong_GB2312" w:hAnsi="FangSong_GB2312" w:eastAsia="FangSong_GB2312" w:cs="FangSong_GB2312"/>
                <w:sz w:val="31"/>
                <w:szCs w:val="31"/>
              </w:rPr>
            </w:pPr>
            <w:r>
              <w:rPr>
                <w:rFonts w:ascii="FangSong_GB2312" w:hAnsi="FangSong_GB2312" w:eastAsia="FangSong_GB2312" w:cs="FangSong_GB2312"/>
                <w:spacing w:val="7"/>
                <w:sz w:val="31"/>
                <w:szCs w:val="31"/>
              </w:rPr>
              <w:t>满洲里市烟草专卖局办公室</w:t>
            </w:r>
          </w:p>
        </w:tc>
        <w:tc>
          <w:tcPr>
            <w:tcW w:w="4105" w:type="dxa"/>
            <w:tcBorders>
              <w:top w:val="single" w:color="000000" w:sz="2" w:space="0"/>
              <w:bottom w:val="single" w:color="000000" w:sz="2" w:space="0"/>
            </w:tcBorders>
            <w:vAlign w:val="top"/>
          </w:tcPr>
          <w:p w14:paraId="75A1D73C">
            <w:pPr>
              <w:spacing w:before="158" w:line="220" w:lineRule="auto"/>
              <w:ind w:left="727"/>
              <w:rPr>
                <w:rFonts w:ascii="FangSong_GB2312" w:hAnsi="FangSong_GB2312" w:eastAsia="FangSong_GB2312" w:cs="FangSong_GB2312"/>
                <w:sz w:val="31"/>
                <w:szCs w:val="31"/>
              </w:rPr>
            </w:pPr>
            <w:r>
              <w:rPr>
                <w:rFonts w:ascii="FangSong_GB2312" w:hAnsi="FangSong_GB2312" w:eastAsia="FangSong_GB2312" w:cs="FangSong_GB2312"/>
                <w:spacing w:val="-11"/>
                <w:sz w:val="31"/>
                <w:szCs w:val="31"/>
              </w:rPr>
              <w:t>2026</w:t>
            </w:r>
            <w:r>
              <w:rPr>
                <w:rFonts w:ascii="FangSong_GB2312" w:hAnsi="FangSong_GB2312" w:eastAsia="FangSong_GB2312" w:cs="FangSong_GB2312"/>
                <w:spacing w:val="-49"/>
                <w:sz w:val="31"/>
                <w:szCs w:val="31"/>
              </w:rPr>
              <w:t xml:space="preserve"> </w:t>
            </w:r>
            <w:r>
              <w:rPr>
                <w:rFonts w:ascii="FangSong_GB2312" w:hAnsi="FangSong_GB2312" w:eastAsia="FangSong_GB2312" w:cs="FangSong_GB2312"/>
                <w:spacing w:val="-11"/>
                <w:sz w:val="31"/>
                <w:szCs w:val="31"/>
              </w:rPr>
              <w:t>年</w:t>
            </w:r>
            <w:r>
              <w:rPr>
                <w:rFonts w:ascii="FangSong_GB2312" w:hAnsi="FangSong_GB2312" w:eastAsia="FangSong_GB2312" w:cs="FangSong_GB2312"/>
                <w:spacing w:val="-51"/>
                <w:sz w:val="31"/>
                <w:szCs w:val="31"/>
              </w:rPr>
              <w:t xml:space="preserve"> </w:t>
            </w:r>
            <w:r>
              <w:rPr>
                <w:rFonts w:ascii="FangSong_GB2312" w:hAnsi="FangSong_GB2312" w:eastAsia="FangSong_GB2312" w:cs="FangSong_GB2312"/>
                <w:spacing w:val="-11"/>
                <w:sz w:val="31"/>
                <w:szCs w:val="31"/>
              </w:rPr>
              <w:t>2</w:t>
            </w:r>
            <w:r>
              <w:rPr>
                <w:rFonts w:ascii="FangSong_GB2312" w:hAnsi="FangSong_GB2312" w:eastAsia="FangSong_GB2312" w:cs="FangSong_GB2312"/>
                <w:spacing w:val="-46"/>
                <w:sz w:val="31"/>
                <w:szCs w:val="31"/>
              </w:rPr>
              <w:t xml:space="preserve"> </w:t>
            </w:r>
            <w:r>
              <w:rPr>
                <w:rFonts w:ascii="FangSong_GB2312" w:hAnsi="FangSong_GB2312" w:eastAsia="FangSong_GB2312" w:cs="FangSong_GB2312"/>
                <w:spacing w:val="-11"/>
                <w:sz w:val="31"/>
                <w:szCs w:val="31"/>
              </w:rPr>
              <w:t>月</w:t>
            </w:r>
            <w:r>
              <w:rPr>
                <w:rFonts w:ascii="FangSong_GB2312" w:hAnsi="FangSong_GB2312" w:eastAsia="FangSong_GB2312" w:cs="FangSong_GB2312"/>
                <w:spacing w:val="-44"/>
                <w:sz w:val="31"/>
                <w:szCs w:val="31"/>
              </w:rPr>
              <w:t xml:space="preserve"> </w:t>
            </w:r>
            <w:r>
              <w:rPr>
                <w:rFonts w:ascii="FangSong_GB2312" w:hAnsi="FangSong_GB2312" w:eastAsia="FangSong_GB2312" w:cs="FangSong_GB2312"/>
                <w:spacing w:val="-11"/>
                <w:sz w:val="31"/>
                <w:szCs w:val="31"/>
              </w:rPr>
              <w:t>5 日印发</w:t>
            </w:r>
          </w:p>
        </w:tc>
      </w:tr>
    </w:tbl>
    <w:p w14:paraId="420ABA73">
      <w:pPr>
        <w:pStyle w:val="2"/>
      </w:pPr>
    </w:p>
    <w:sectPr>
      <w:footerReference r:id="rId22" w:type="default"/>
      <w:pgSz w:w="11906" w:h="16838"/>
      <w:pgMar w:top="400" w:right="1449" w:bottom="1195" w:left="1530" w:header="0" w:footer="83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FangSong_GB2312">
    <w:altName w:val="仿宋_GB2312"/>
    <w:panose1 w:val="02010609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2CE8D">
    <w:pPr>
      <w:pStyle w:val="2"/>
      <w:spacing w:line="235" w:lineRule="auto"/>
      <w:ind w:left="8092"/>
      <w:rPr>
        <w:sz w:val="28"/>
        <w:szCs w:val="28"/>
      </w:rPr>
    </w:pPr>
    <w:r>
      <w:rPr>
        <w:spacing w:val="-8"/>
        <w:sz w:val="28"/>
        <w:szCs w:val="28"/>
      </w:rPr>
      <w:t>—</w:t>
    </w:r>
    <w:r>
      <w:rPr>
        <w:spacing w:val="8"/>
        <w:sz w:val="28"/>
        <w:szCs w:val="28"/>
      </w:rPr>
      <w:t xml:space="preserve">  </w:t>
    </w:r>
    <w:r>
      <w:rPr>
        <w:rFonts w:ascii="宋体" w:hAnsi="宋体" w:eastAsia="宋体" w:cs="宋体"/>
        <w:spacing w:val="-8"/>
        <w:sz w:val="28"/>
        <w:szCs w:val="28"/>
      </w:rPr>
      <w:t xml:space="preserve">1 </w:t>
    </w:r>
    <w:r>
      <w:rPr>
        <w:spacing w:val="-8"/>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FB945">
    <w:pPr>
      <w:pStyle w:val="2"/>
      <w:spacing w:line="235" w:lineRule="auto"/>
      <w:rPr>
        <w:sz w:val="28"/>
        <w:szCs w:val="28"/>
      </w:rPr>
    </w:pPr>
    <w:r>
      <w:rPr>
        <w:spacing w:val="-3"/>
        <w:sz w:val="28"/>
        <w:szCs w:val="28"/>
      </w:rPr>
      <w:t xml:space="preserve">—  </w:t>
    </w:r>
    <w:r>
      <w:rPr>
        <w:rFonts w:ascii="宋体" w:hAnsi="宋体" w:eastAsia="宋体" w:cs="宋体"/>
        <w:spacing w:val="-3"/>
        <w:sz w:val="28"/>
        <w:szCs w:val="28"/>
      </w:rPr>
      <w:t xml:space="preserve">2 </w:t>
    </w:r>
    <w:r>
      <w:rPr>
        <w:spacing w:val="-3"/>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A6A00">
    <w:pPr>
      <w:pStyle w:val="2"/>
      <w:spacing w:line="233" w:lineRule="auto"/>
      <w:ind w:left="8085"/>
      <w:rPr>
        <w:sz w:val="28"/>
        <w:szCs w:val="28"/>
      </w:rPr>
    </w:pPr>
    <w:r>
      <w:rPr>
        <w:spacing w:val="-3"/>
        <w:sz w:val="28"/>
        <w:szCs w:val="28"/>
      </w:rPr>
      <w:t xml:space="preserve">—  </w:t>
    </w:r>
    <w:r>
      <w:rPr>
        <w:rFonts w:ascii="宋体" w:hAnsi="宋体" w:eastAsia="宋体" w:cs="宋体"/>
        <w:spacing w:val="-3"/>
        <w:sz w:val="28"/>
        <w:szCs w:val="28"/>
      </w:rPr>
      <w:t xml:space="preserve">3 </w:t>
    </w:r>
    <w:r>
      <w:rPr>
        <w:spacing w:val="-3"/>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B8160">
    <w:pPr>
      <w:pStyle w:val="2"/>
      <w:spacing w:line="235" w:lineRule="auto"/>
      <w:rPr>
        <w:sz w:val="28"/>
        <w:szCs w:val="28"/>
      </w:rPr>
    </w:pPr>
    <w:r>
      <w:rPr>
        <w:spacing w:val="-2"/>
        <w:sz w:val="28"/>
        <w:szCs w:val="28"/>
      </w:rPr>
      <w:t>—</w:t>
    </w:r>
    <w:r>
      <w:rPr>
        <w:spacing w:val="71"/>
        <w:sz w:val="28"/>
        <w:szCs w:val="28"/>
      </w:rPr>
      <w:t xml:space="preserve"> </w:t>
    </w:r>
    <w:r>
      <w:rPr>
        <w:rFonts w:ascii="宋体" w:hAnsi="宋体" w:eastAsia="宋体" w:cs="宋体"/>
        <w:spacing w:val="-2"/>
        <w:sz w:val="28"/>
        <w:szCs w:val="28"/>
      </w:rPr>
      <w:t xml:space="preserve">4 </w:t>
    </w:r>
    <w:r>
      <w:rPr>
        <w:spacing w:val="-2"/>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60ED9">
    <w:pPr>
      <w:pStyle w:val="2"/>
      <w:spacing w:line="233" w:lineRule="auto"/>
      <w:jc w:val="right"/>
      <w:rPr>
        <w:sz w:val="28"/>
        <w:szCs w:val="28"/>
      </w:rPr>
    </w:pPr>
    <w:r>
      <w:rPr>
        <w:spacing w:val="-4"/>
        <w:sz w:val="28"/>
        <w:szCs w:val="28"/>
      </w:rPr>
      <w:t xml:space="preserve">— </w:t>
    </w:r>
    <w:r>
      <w:rPr>
        <w:spacing w:val="-3"/>
        <w:sz w:val="28"/>
        <w:szCs w:val="28"/>
      </w:rPr>
      <w:t xml:space="preserve"> </w:t>
    </w:r>
    <w:r>
      <w:rPr>
        <w:rFonts w:ascii="宋体" w:hAnsi="宋体" w:eastAsia="宋体" w:cs="宋体"/>
        <w:spacing w:val="-3"/>
        <w:sz w:val="28"/>
        <w:szCs w:val="28"/>
      </w:rPr>
      <w:t xml:space="preserve">5 </w:t>
    </w:r>
    <w:r>
      <w:rPr>
        <w:spacing w:val="-1"/>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CE15D">
    <w:pPr>
      <w:pStyle w:val="2"/>
      <w:spacing w:line="233" w:lineRule="auto"/>
      <w:rPr>
        <w:sz w:val="28"/>
        <w:szCs w:val="28"/>
      </w:rPr>
    </w:pPr>
    <w:r>
      <w:rPr>
        <w:spacing w:val="-3"/>
        <w:sz w:val="28"/>
        <w:szCs w:val="28"/>
      </w:rPr>
      <w:t>—</w:t>
    </w:r>
    <w:r>
      <w:rPr>
        <w:spacing w:val="74"/>
        <w:w w:val="101"/>
        <w:sz w:val="28"/>
        <w:szCs w:val="28"/>
      </w:rPr>
      <w:t xml:space="preserve"> </w:t>
    </w:r>
    <w:r>
      <w:rPr>
        <w:rFonts w:ascii="宋体" w:hAnsi="宋体" w:eastAsia="宋体" w:cs="宋体"/>
        <w:spacing w:val="-3"/>
        <w:sz w:val="28"/>
        <w:szCs w:val="28"/>
      </w:rPr>
      <w:t xml:space="preserve">6 </w:t>
    </w:r>
    <w:r>
      <w:rPr>
        <w:spacing w:val="-3"/>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6B689">
    <w:pPr>
      <w:pStyle w:val="2"/>
      <w:spacing w:line="233" w:lineRule="auto"/>
      <w:jc w:val="right"/>
      <w:rPr>
        <w:sz w:val="28"/>
        <w:szCs w:val="28"/>
      </w:rPr>
    </w:pPr>
    <w:r>
      <w:rPr>
        <w:spacing w:val="-4"/>
        <w:sz w:val="28"/>
        <w:szCs w:val="28"/>
      </w:rPr>
      <w:t xml:space="preserve">— </w:t>
    </w:r>
    <w:r>
      <w:rPr>
        <w:spacing w:val="-3"/>
        <w:sz w:val="28"/>
        <w:szCs w:val="28"/>
      </w:rPr>
      <w:t xml:space="preserve"> </w:t>
    </w:r>
    <w:r>
      <w:rPr>
        <w:rFonts w:ascii="宋体" w:hAnsi="宋体" w:eastAsia="宋体" w:cs="宋体"/>
        <w:spacing w:val="-3"/>
        <w:sz w:val="28"/>
        <w:szCs w:val="28"/>
      </w:rPr>
      <w:t xml:space="preserve">7 </w:t>
    </w:r>
    <w:r>
      <w:rPr>
        <w:spacing w:val="-1"/>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0A37D">
    <w:pPr>
      <w:pStyle w:val="2"/>
      <w:spacing w:line="233" w:lineRule="auto"/>
      <w:rPr>
        <w:sz w:val="28"/>
        <w:szCs w:val="28"/>
      </w:rPr>
    </w:pPr>
    <w:r>
      <w:rPr>
        <w:spacing w:val="-3"/>
        <w:sz w:val="28"/>
        <w:szCs w:val="28"/>
      </w:rPr>
      <w:t>—</w:t>
    </w:r>
    <w:r>
      <w:rPr>
        <w:spacing w:val="74"/>
        <w:w w:val="101"/>
        <w:sz w:val="28"/>
        <w:szCs w:val="28"/>
      </w:rPr>
      <w:t xml:space="preserve"> </w:t>
    </w:r>
    <w:r>
      <w:rPr>
        <w:rFonts w:ascii="宋体" w:hAnsi="宋体" w:eastAsia="宋体" w:cs="宋体"/>
        <w:spacing w:val="-3"/>
        <w:sz w:val="28"/>
        <w:szCs w:val="28"/>
      </w:rPr>
      <w:t xml:space="preserve">8 </w:t>
    </w:r>
    <w:r>
      <w:rPr>
        <w:spacing w:val="-3"/>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68D16">
    <w:pPr>
      <w:pStyle w:val="2"/>
      <w:spacing w:line="233" w:lineRule="auto"/>
      <w:ind w:right="47"/>
      <w:jc w:val="right"/>
      <w:rPr>
        <w:sz w:val="28"/>
        <w:szCs w:val="28"/>
      </w:rPr>
    </w:pPr>
    <w:r>
      <w:rPr>
        <w:spacing w:val="-3"/>
        <w:sz w:val="28"/>
        <w:szCs w:val="28"/>
      </w:rPr>
      <w:t>—</w:t>
    </w:r>
    <w:r>
      <w:rPr>
        <w:spacing w:val="74"/>
        <w:w w:val="101"/>
        <w:sz w:val="28"/>
        <w:szCs w:val="28"/>
      </w:rPr>
      <w:t xml:space="preserve"> </w:t>
    </w:r>
    <w:r>
      <w:rPr>
        <w:rFonts w:ascii="宋体" w:hAnsi="宋体" w:eastAsia="宋体" w:cs="宋体"/>
        <w:spacing w:val="-3"/>
        <w:sz w:val="28"/>
        <w:szCs w:val="28"/>
      </w:rPr>
      <w:t xml:space="preserve">9 </w:t>
    </w:r>
    <w:r>
      <w:rPr>
        <w:spacing w:val="-3"/>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933D9">
    <w:pPr>
      <w:pStyle w:val="2"/>
      <w:spacing w:line="233" w:lineRule="auto"/>
      <w:rPr>
        <w:sz w:val="28"/>
        <w:szCs w:val="28"/>
      </w:rPr>
    </w:pPr>
    <w:r>
      <w:rPr>
        <w:spacing w:val="-6"/>
        <w:sz w:val="28"/>
        <w:szCs w:val="28"/>
      </w:rPr>
      <w:t>—</w:t>
    </w:r>
    <w:r>
      <w:rPr>
        <w:spacing w:val="7"/>
        <w:sz w:val="28"/>
        <w:szCs w:val="28"/>
      </w:rPr>
      <w:t xml:space="preserve">  </w:t>
    </w:r>
    <w:r>
      <w:rPr>
        <w:rFonts w:ascii="宋体" w:hAnsi="宋体" w:eastAsia="宋体" w:cs="宋体"/>
        <w:spacing w:val="-6"/>
        <w:sz w:val="28"/>
        <w:szCs w:val="28"/>
      </w:rPr>
      <w:t xml:space="preserve">10 </w:t>
    </w:r>
    <w:r>
      <w:rPr>
        <w:spacing w:val="-6"/>
        <w:sz w:val="28"/>
        <w:szCs w:val="28"/>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A11A6">
    <w:pPr>
      <w:spacing w:before="1" w:line="201" w:lineRule="auto"/>
      <w:jc w:val="right"/>
      <w:rPr>
        <w:rFonts w:ascii="微软雅黑" w:hAnsi="微软雅黑" w:eastAsia="微软雅黑" w:cs="微软雅黑"/>
        <w:sz w:val="28"/>
        <w:szCs w:val="28"/>
      </w:rPr>
    </w:pPr>
    <w:r>
      <w:rPr>
        <w:rFonts w:ascii="微软雅黑" w:hAnsi="微软雅黑" w:eastAsia="微软雅黑" w:cs="微软雅黑"/>
        <w:spacing w:val="-25"/>
        <w:sz w:val="28"/>
        <w:szCs w:val="28"/>
      </w:rPr>
      <w:t>—</w:t>
    </w:r>
    <w:r>
      <w:rPr>
        <w:rFonts w:ascii="微软雅黑" w:hAnsi="微软雅黑" w:eastAsia="微软雅黑" w:cs="微软雅黑"/>
        <w:spacing w:val="2"/>
        <w:sz w:val="28"/>
        <w:szCs w:val="28"/>
      </w:rPr>
      <w:t xml:space="preserve">  </w:t>
    </w:r>
    <w:r>
      <w:rPr>
        <w:rFonts w:ascii="宋体" w:hAnsi="宋体" w:eastAsia="宋体" w:cs="宋体"/>
        <w:spacing w:val="-25"/>
        <w:sz w:val="28"/>
        <w:szCs w:val="28"/>
      </w:rPr>
      <w:t>11</w:t>
    </w:r>
    <w:r>
      <w:rPr>
        <w:rFonts w:ascii="宋体" w:hAnsi="宋体" w:eastAsia="宋体" w:cs="宋体"/>
        <w:spacing w:val="1"/>
        <w:sz w:val="28"/>
        <w:szCs w:val="28"/>
      </w:rPr>
      <w:t xml:space="preserve"> </w:t>
    </w:r>
    <w:r>
      <w:rPr>
        <w:rFonts w:ascii="微软雅黑" w:hAnsi="微软雅黑" w:eastAsia="微软雅黑" w:cs="微软雅黑"/>
        <w:spacing w:val="-1"/>
        <w:sz w:val="28"/>
        <w:szCs w:val="2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D6432">
    <w:pPr>
      <w:spacing w:line="235" w:lineRule="auto"/>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0"/>
        <w:sz w:val="28"/>
        <w:szCs w:val="28"/>
      </w:rPr>
      <w:t xml:space="preserve"> </w:t>
    </w:r>
    <w:r>
      <w:rPr>
        <w:rFonts w:ascii="宋体" w:hAnsi="宋体" w:eastAsia="宋体" w:cs="宋体"/>
        <w:spacing w:val="-10"/>
        <w:sz w:val="28"/>
        <w:szCs w:val="28"/>
      </w:rPr>
      <w:t>12</w:t>
    </w:r>
    <w:r>
      <w:rPr>
        <w:rFonts w:ascii="宋体" w:hAnsi="宋体" w:eastAsia="宋体" w:cs="宋体"/>
        <w:spacing w:val="8"/>
        <w:sz w:val="28"/>
        <w:szCs w:val="28"/>
      </w:rPr>
      <w:t xml:space="preserve"> </w:t>
    </w:r>
    <w:r>
      <w:rPr>
        <w:rFonts w:ascii="宋体" w:hAnsi="宋体" w:eastAsia="宋体" w:cs="宋体"/>
        <w:spacing w:val="-10"/>
        <w:sz w:val="28"/>
        <w:szCs w:val="28"/>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955D8">
    <w:pPr>
      <w:spacing w:line="233" w:lineRule="auto"/>
      <w:jc w:val="right"/>
      <w:rPr>
        <w:rFonts w:ascii="宋体" w:hAnsi="宋体" w:eastAsia="宋体" w:cs="宋体"/>
        <w:sz w:val="28"/>
        <w:szCs w:val="28"/>
      </w:rPr>
    </w:pPr>
    <w:r>
      <w:rPr>
        <w:rFonts w:ascii="宋体" w:hAnsi="宋体" w:eastAsia="宋体" w:cs="宋体"/>
        <w:spacing w:val="-14"/>
        <w:sz w:val="28"/>
        <w:szCs w:val="28"/>
      </w:rPr>
      <w:t>—</w:t>
    </w:r>
    <w:r>
      <w:rPr>
        <w:rFonts w:ascii="宋体" w:hAnsi="宋体" w:eastAsia="宋体" w:cs="宋体"/>
        <w:spacing w:val="30"/>
        <w:sz w:val="28"/>
        <w:szCs w:val="28"/>
      </w:rPr>
      <w:t xml:space="preserve"> </w:t>
    </w:r>
    <w:r>
      <w:rPr>
        <w:rFonts w:ascii="宋体" w:hAnsi="宋体" w:eastAsia="宋体" w:cs="宋体"/>
        <w:spacing w:val="-13"/>
        <w:sz w:val="28"/>
        <w:szCs w:val="28"/>
      </w:rPr>
      <w:t>13</w:t>
    </w:r>
    <w:r>
      <w:rPr>
        <w:rFonts w:ascii="宋体" w:hAnsi="宋体" w:eastAsia="宋体" w:cs="宋体"/>
        <w:spacing w:val="9"/>
        <w:sz w:val="28"/>
        <w:szCs w:val="28"/>
      </w:rPr>
      <w:t xml:space="preserve"> </w:t>
    </w:r>
    <w:r>
      <w:rPr>
        <w:rFonts w:ascii="宋体" w:hAnsi="宋体" w:eastAsia="宋体" w:cs="宋体"/>
        <w:spacing w:val="-8"/>
        <w:sz w:val="28"/>
        <w:szCs w:val="28"/>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AAE0E">
    <w:pPr>
      <w:spacing w:line="235" w:lineRule="auto"/>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0"/>
        <w:sz w:val="28"/>
        <w:szCs w:val="28"/>
      </w:rPr>
      <w:t xml:space="preserve"> </w:t>
    </w:r>
    <w:r>
      <w:rPr>
        <w:rFonts w:ascii="宋体" w:hAnsi="宋体" w:eastAsia="宋体" w:cs="宋体"/>
        <w:spacing w:val="-10"/>
        <w:sz w:val="28"/>
        <w:szCs w:val="28"/>
      </w:rPr>
      <w:t>14</w:t>
    </w:r>
    <w:r>
      <w:rPr>
        <w:rFonts w:ascii="宋体" w:hAnsi="宋体" w:eastAsia="宋体" w:cs="宋体"/>
        <w:spacing w:val="8"/>
        <w:sz w:val="28"/>
        <w:szCs w:val="28"/>
      </w:rPr>
      <w:t xml:space="preserve"> </w:t>
    </w:r>
    <w:r>
      <w:rPr>
        <w:rFonts w:ascii="宋体" w:hAnsi="宋体" w:eastAsia="宋体" w:cs="宋体"/>
        <w:spacing w:val="-10"/>
        <w:sz w:val="28"/>
        <w:szCs w:val="28"/>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5670D">
    <w:pPr>
      <w:spacing w:line="233" w:lineRule="auto"/>
      <w:ind w:left="7715"/>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0"/>
        <w:sz w:val="28"/>
        <w:szCs w:val="28"/>
      </w:rPr>
      <w:t xml:space="preserve"> </w:t>
    </w:r>
    <w:r>
      <w:rPr>
        <w:rFonts w:ascii="宋体" w:hAnsi="宋体" w:eastAsia="宋体" w:cs="宋体"/>
        <w:spacing w:val="-10"/>
        <w:sz w:val="28"/>
        <w:szCs w:val="28"/>
      </w:rPr>
      <w:t>15</w:t>
    </w:r>
    <w:r>
      <w:rPr>
        <w:rFonts w:ascii="宋体" w:hAnsi="宋体" w:eastAsia="宋体" w:cs="宋体"/>
        <w:spacing w:val="8"/>
        <w:sz w:val="28"/>
        <w:szCs w:val="28"/>
      </w:rPr>
      <w:t xml:space="preserve"> </w:t>
    </w:r>
    <w:r>
      <w:rPr>
        <w:rFonts w:ascii="宋体" w:hAnsi="宋体" w:eastAsia="宋体" w:cs="宋体"/>
        <w:spacing w:val="-10"/>
        <w:sz w:val="28"/>
        <w:szCs w:val="28"/>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FAB4C">
    <w:pPr>
      <w:spacing w:line="233" w:lineRule="auto"/>
      <w:ind w:left="8"/>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0"/>
        <w:sz w:val="28"/>
        <w:szCs w:val="28"/>
      </w:rPr>
      <w:t xml:space="preserve"> </w:t>
    </w:r>
    <w:r>
      <w:rPr>
        <w:rFonts w:ascii="宋体" w:hAnsi="宋体" w:eastAsia="宋体" w:cs="宋体"/>
        <w:spacing w:val="-10"/>
        <w:sz w:val="28"/>
        <w:szCs w:val="28"/>
      </w:rPr>
      <w:t>16</w:t>
    </w:r>
    <w:r>
      <w:rPr>
        <w:rFonts w:ascii="宋体" w:hAnsi="宋体" w:eastAsia="宋体" w:cs="宋体"/>
        <w:spacing w:val="8"/>
        <w:sz w:val="28"/>
        <w:szCs w:val="28"/>
      </w:rPr>
      <w:t xml:space="preserve"> </w:t>
    </w:r>
    <w:r>
      <w:rPr>
        <w:rFonts w:ascii="宋体" w:hAnsi="宋体" w:eastAsia="宋体" w:cs="宋体"/>
        <w:spacing w:val="-10"/>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14E18">
    <w:pPr>
      <w:spacing w:before="83" w:line="230" w:lineRule="auto"/>
      <w:ind w:left="21"/>
      <w:rPr>
        <w:rFonts w:ascii="黑体" w:hAnsi="黑体" w:eastAsia="黑体" w:cs="黑体"/>
        <w:sz w:val="31"/>
        <w:szCs w:val="31"/>
      </w:rPr>
    </w:pPr>
    <w:r>
      <w:rPr>
        <w:rFonts w:ascii="黑体" w:hAnsi="黑体" w:eastAsia="黑体" w:cs="黑体"/>
        <w:spacing w:val="-4"/>
        <w:sz w:val="31"/>
        <w:szCs w:val="31"/>
      </w:rPr>
      <w:t>附件</w:t>
    </w:r>
    <w:r>
      <w:rPr>
        <w:rFonts w:ascii="黑体" w:hAnsi="黑体" w:eastAsia="黑体" w:cs="黑体"/>
        <w:spacing w:val="-64"/>
        <w:sz w:val="31"/>
        <w:szCs w:val="31"/>
      </w:rPr>
      <w:t xml:space="preserve"> </w:t>
    </w:r>
    <w:r>
      <w:rPr>
        <w:rFonts w:ascii="黑体" w:hAnsi="黑体" w:eastAsia="黑体" w:cs="黑体"/>
        <w:spacing w:val="-4"/>
        <w:sz w:val="31"/>
        <w:szCs w:val="31"/>
      </w:rP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A658C">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BF0208"/>
    <w:rsid w:val="30487B47"/>
    <w:rsid w:val="40A35A86"/>
    <w:rsid w:val="4D021D86"/>
    <w:rsid w:val="56777341"/>
    <w:rsid w:val="6BCC77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image" Target="media/image7.jpeg"/><Relationship Id="rId3" Type="http://schemas.openxmlformats.org/officeDocument/2006/relationships/footnotes" Target="footnotes.xml"/><Relationship Id="rId29" Type="http://schemas.openxmlformats.org/officeDocument/2006/relationships/image" Target="media/image6.jpeg"/><Relationship Id="rId28" Type="http://schemas.openxmlformats.org/officeDocument/2006/relationships/image" Target="media/image5.jpeg"/><Relationship Id="rId27" Type="http://schemas.openxmlformats.org/officeDocument/2006/relationships/image" Target="media/image4.jpeg"/><Relationship Id="rId26" Type="http://schemas.openxmlformats.org/officeDocument/2006/relationships/image" Target="media/image3.png"/><Relationship Id="rId25" Type="http://schemas.openxmlformats.org/officeDocument/2006/relationships/image" Target="media/image2.jpeg"/><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header" Target="header2.xml"/><Relationship Id="rId17" Type="http://schemas.openxmlformats.org/officeDocument/2006/relationships/footer" Target="footer12.xml"/><Relationship Id="rId16" Type="http://schemas.openxmlformats.org/officeDocument/2006/relationships/header" Target="header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16</Pages>
  <Words>5194</Words>
  <Characters>5279</Characters>
  <TotalTime>3</TotalTime>
  <ScaleCrop>false</ScaleCrop>
  <LinksUpToDate>false</LinksUpToDate>
  <CharactersWithSpaces>5435</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2026-02-06T11:07:00Z</dcterms:created>
  <dc:creator>Windows 用户</dc:creator>
  <cp:lastModifiedBy>洪林</cp:lastModifiedBy>
  <dcterms:modified xsi:type="dcterms:W3CDTF">2026-02-06T03:25:27Z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2026-02-06T11:09:52Z</vt:filetime>
  </property>
  <property fmtid="{D5CDD505-2E9C-101B-9397-08002B2CF9AE}" pid="4" name="KSOTemplateDocerSaveRecord">
    <vt:lpwstr>eyJoZGlkIjoiZjBhYzM2NWJhMzZhMjE1ODFkNzgzZWFiYjc5ZDY1MGMiLCJ1c2VySWQiOiIxMDY5ODkyNTIxIn0=</vt:lpwstr>
  </property>
  <property fmtid="{D5CDD505-2E9C-101B-9397-08002B2CF9AE}" pid="5" name="KSOProductBuildVer">
    <vt:lpwstr>2052-12.1.0.25225</vt:lpwstr>
  </property>
  <property fmtid="{D5CDD505-2E9C-101B-9397-08002B2CF9AE}" pid="6" name="ICV">
    <vt:lpwstr>75ABE594C51548CAA7F5A53D207EFAA2_12</vt:lpwstr>
  </property>
</Properties>
</file>