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86C78A">
      <w:pPr>
        <w:jc w:val="center"/>
        <w:rPr>
          <w:rFonts w:hint="eastAsia"/>
          <w:sz w:val="44"/>
          <w:szCs w:val="52"/>
          <w:lang w:val="en-US" w:eastAsia="zh-CN"/>
        </w:rPr>
      </w:pPr>
    </w:p>
    <w:p w14:paraId="3DD9BCCA">
      <w:pPr>
        <w:jc w:val="center"/>
        <w:rPr>
          <w:rFonts w:hint="eastAsia"/>
          <w:sz w:val="44"/>
          <w:szCs w:val="52"/>
          <w:lang w:val="en-US" w:eastAsia="zh-CN"/>
        </w:rPr>
      </w:pPr>
    </w:p>
    <w:p w14:paraId="78189EBB">
      <w:pPr>
        <w:jc w:val="center"/>
        <w:rPr>
          <w:rFonts w:hint="eastAsia"/>
          <w:sz w:val="44"/>
          <w:szCs w:val="52"/>
          <w:lang w:val="en-US" w:eastAsia="zh-CN"/>
        </w:rPr>
      </w:pPr>
    </w:p>
    <w:p w14:paraId="68984214">
      <w:pPr>
        <w:jc w:val="center"/>
        <w:rPr>
          <w:rFonts w:hint="eastAsia" w:ascii="方正小标宋_GBK" w:hAnsi="方正小标宋_GBK" w:eastAsia="方正小标宋_GBK" w:cs="方正小标宋_GBK"/>
          <w:sz w:val="44"/>
          <w:szCs w:val="52"/>
          <w:lang w:val="en-US" w:eastAsia="zh-CN"/>
        </w:rPr>
      </w:pPr>
      <w:r>
        <w:rPr>
          <w:rFonts w:hint="eastAsia" w:ascii="方正小标宋_GBK" w:hAnsi="方正小标宋_GBK" w:eastAsia="方正小标宋_GBK" w:cs="方正小标宋_GBK"/>
          <w:sz w:val="44"/>
          <w:szCs w:val="52"/>
          <w:lang w:val="en-US" w:eastAsia="zh-CN"/>
        </w:rPr>
        <w:t>满洲里市国土空间总体规划（2021-2035年）动态维护方案</w:t>
      </w:r>
    </w:p>
    <w:p w14:paraId="5FBD24B5">
      <w:pPr>
        <w:jc w:val="center"/>
        <w:rPr>
          <w:rFonts w:hint="eastAsia" w:ascii="方正小标宋_GBK" w:hAnsi="方正小标宋_GBK" w:eastAsia="方正小标宋_GBK" w:cs="方正小标宋_GBK"/>
          <w:sz w:val="44"/>
          <w:szCs w:val="52"/>
          <w:lang w:val="en-US" w:eastAsia="zh-CN"/>
        </w:rPr>
      </w:pPr>
      <w:r>
        <w:rPr>
          <w:rFonts w:hint="eastAsia" w:ascii="方正小标宋_GBK" w:hAnsi="方正小标宋_GBK" w:eastAsia="方正小标宋_GBK" w:cs="方正小标宋_GBK"/>
          <w:sz w:val="44"/>
          <w:szCs w:val="52"/>
          <w:lang w:val="en-US" w:eastAsia="zh-CN"/>
        </w:rPr>
        <w:t>（公示稿）</w:t>
      </w:r>
    </w:p>
    <w:p w14:paraId="3E0E7985">
      <w:pPr>
        <w:jc w:val="center"/>
        <w:rPr>
          <w:rFonts w:hint="eastAsia"/>
          <w:sz w:val="44"/>
          <w:szCs w:val="52"/>
          <w:lang w:val="en-US" w:eastAsia="zh-CN"/>
        </w:rPr>
      </w:pPr>
    </w:p>
    <w:p w14:paraId="4C5AB4D7">
      <w:pPr>
        <w:jc w:val="center"/>
        <w:rPr>
          <w:rFonts w:hint="eastAsia"/>
          <w:sz w:val="44"/>
          <w:szCs w:val="52"/>
          <w:lang w:val="en-US" w:eastAsia="zh-CN"/>
        </w:rPr>
      </w:pPr>
    </w:p>
    <w:p w14:paraId="5D4062A3">
      <w:pPr>
        <w:jc w:val="center"/>
        <w:rPr>
          <w:rFonts w:hint="eastAsia"/>
          <w:sz w:val="44"/>
          <w:szCs w:val="52"/>
          <w:lang w:val="en-US" w:eastAsia="zh-CN"/>
        </w:rPr>
      </w:pPr>
    </w:p>
    <w:p w14:paraId="1DDCE27C">
      <w:pPr>
        <w:jc w:val="center"/>
        <w:rPr>
          <w:rFonts w:hint="eastAsia"/>
          <w:sz w:val="44"/>
          <w:szCs w:val="52"/>
          <w:lang w:val="en-US" w:eastAsia="zh-CN"/>
        </w:rPr>
      </w:pPr>
    </w:p>
    <w:p w14:paraId="5664375E">
      <w:pPr>
        <w:jc w:val="center"/>
        <w:rPr>
          <w:rFonts w:hint="eastAsia"/>
          <w:sz w:val="44"/>
          <w:szCs w:val="52"/>
          <w:lang w:val="en-US" w:eastAsia="zh-CN"/>
        </w:rPr>
      </w:pPr>
    </w:p>
    <w:p w14:paraId="52009B00">
      <w:pPr>
        <w:jc w:val="center"/>
        <w:rPr>
          <w:rFonts w:hint="eastAsia"/>
          <w:sz w:val="44"/>
          <w:szCs w:val="52"/>
          <w:lang w:val="en-US" w:eastAsia="zh-CN"/>
        </w:rPr>
      </w:pPr>
    </w:p>
    <w:p w14:paraId="1850E1BA">
      <w:pPr>
        <w:jc w:val="center"/>
        <w:rPr>
          <w:rFonts w:hint="eastAsia"/>
          <w:sz w:val="44"/>
          <w:szCs w:val="52"/>
          <w:lang w:val="en-US" w:eastAsia="zh-CN"/>
        </w:rPr>
      </w:pPr>
    </w:p>
    <w:p w14:paraId="17D83E90">
      <w:pPr>
        <w:jc w:val="center"/>
        <w:rPr>
          <w:rFonts w:hint="eastAsia"/>
          <w:sz w:val="44"/>
          <w:szCs w:val="52"/>
          <w:lang w:val="en-US" w:eastAsia="zh-CN"/>
        </w:rPr>
      </w:pPr>
    </w:p>
    <w:p w14:paraId="102239BC">
      <w:pPr>
        <w:jc w:val="center"/>
        <w:rPr>
          <w:rFonts w:hint="eastAsia"/>
          <w:sz w:val="44"/>
          <w:szCs w:val="52"/>
          <w:lang w:val="en-US" w:eastAsia="zh-CN"/>
        </w:rPr>
      </w:pPr>
    </w:p>
    <w:p w14:paraId="712D0FFD">
      <w:pPr>
        <w:jc w:val="center"/>
        <w:rPr>
          <w:rFonts w:hint="eastAsia"/>
          <w:sz w:val="44"/>
          <w:szCs w:val="52"/>
          <w:lang w:val="en-US" w:eastAsia="zh-CN"/>
        </w:rPr>
      </w:pPr>
    </w:p>
    <w:p w14:paraId="32DD3B0B">
      <w:pPr>
        <w:jc w:val="center"/>
        <w:rPr>
          <w:rFonts w:hint="eastAsia"/>
          <w:sz w:val="44"/>
          <w:szCs w:val="52"/>
          <w:lang w:val="en-US" w:eastAsia="zh-CN"/>
        </w:rPr>
      </w:pPr>
    </w:p>
    <w:p w14:paraId="02EDD3DC">
      <w:pPr>
        <w:jc w:val="center"/>
        <w:rPr>
          <w:rFonts w:hint="eastAsia"/>
          <w:sz w:val="44"/>
          <w:szCs w:val="52"/>
          <w:lang w:val="en-US" w:eastAsia="zh-CN"/>
        </w:rPr>
      </w:pPr>
    </w:p>
    <w:p w14:paraId="5FBD1F14">
      <w:pPr>
        <w:jc w:val="center"/>
        <w:rPr>
          <w:rFonts w:hint="eastAsia" w:ascii="楷体_GB2312" w:hAnsi="楷体_GB2312" w:eastAsia="楷体_GB2312" w:cs="楷体_GB2312"/>
          <w:sz w:val="36"/>
          <w:szCs w:val="44"/>
          <w:lang w:val="en-US" w:eastAsia="zh-CN"/>
        </w:rPr>
      </w:pPr>
      <w:r>
        <w:rPr>
          <w:rFonts w:hint="eastAsia" w:ascii="楷体_GB2312" w:hAnsi="楷体_GB2312" w:eastAsia="楷体_GB2312" w:cs="楷体_GB2312"/>
          <w:sz w:val="36"/>
          <w:szCs w:val="44"/>
          <w:lang w:val="en-US" w:eastAsia="zh-CN"/>
        </w:rPr>
        <w:t>满洲里市人民政府</w:t>
      </w:r>
    </w:p>
    <w:p w14:paraId="5F8BC9DD">
      <w:pPr>
        <w:jc w:val="center"/>
        <w:rPr>
          <w:rFonts w:hint="eastAsia" w:ascii="楷体_GB2312" w:hAnsi="楷体_GB2312" w:eastAsia="楷体_GB2312" w:cs="楷体_GB2312"/>
          <w:sz w:val="36"/>
          <w:szCs w:val="44"/>
          <w:lang w:val="en-US" w:eastAsia="zh-CN"/>
        </w:rPr>
      </w:pPr>
      <w:r>
        <w:rPr>
          <w:rFonts w:hint="eastAsia" w:ascii="楷体_GB2312" w:hAnsi="楷体_GB2312" w:eastAsia="楷体_GB2312" w:cs="楷体_GB2312"/>
          <w:sz w:val="36"/>
          <w:szCs w:val="44"/>
          <w:lang w:val="en-US" w:eastAsia="zh-CN"/>
        </w:rPr>
        <w:t>2026年3月</w:t>
      </w:r>
    </w:p>
    <w:p w14:paraId="785AEA91">
      <w:pPr>
        <w:jc w:val="center"/>
        <w:rPr>
          <w:rFonts w:hint="eastAsia" w:ascii="楷体_GB2312" w:hAnsi="楷体_GB2312" w:eastAsia="楷体_GB2312" w:cs="楷体_GB2312"/>
          <w:sz w:val="36"/>
          <w:szCs w:val="44"/>
          <w:lang w:val="en-US" w:eastAsia="zh-CN"/>
        </w:rPr>
        <w:sectPr>
          <w:pgSz w:w="11906" w:h="16838"/>
          <w:pgMar w:top="1440" w:right="1800" w:bottom="1440" w:left="1800" w:header="851" w:footer="992" w:gutter="0"/>
          <w:cols w:space="425" w:num="1"/>
          <w:docGrid w:type="lines" w:linePitch="312" w:charSpace="0"/>
        </w:sectPr>
      </w:pPr>
    </w:p>
    <w:sdt>
      <w:sdtPr>
        <w:rPr>
          <w:rFonts w:ascii="宋体" w:hAnsi="宋体" w:eastAsia="宋体" w:cstheme="minorBidi"/>
          <w:b/>
          <w:bCs/>
          <w:kern w:val="2"/>
          <w:sz w:val="28"/>
          <w:szCs w:val="36"/>
          <w:lang w:val="en-US" w:eastAsia="zh-CN" w:bidi="ar-SA"/>
        </w:rPr>
        <w:id w:val="147451652"/>
        <w15:color w:val="DBDBDB"/>
        <w:docPartObj>
          <w:docPartGallery w:val="Table of Contents"/>
          <w:docPartUnique/>
        </w:docPartObj>
      </w:sdtPr>
      <w:sdtEndPr>
        <w:rPr>
          <w:rFonts w:hint="eastAsia" w:ascii="仿宋_GB2312" w:hAnsi="仿宋_GB2312" w:eastAsia="仿宋_GB2312" w:cs="仿宋_GB2312"/>
          <w:b/>
          <w:bCs/>
          <w:kern w:val="2"/>
          <w:sz w:val="32"/>
          <w:szCs w:val="32"/>
          <w:lang w:val="en-US" w:eastAsia="zh-CN" w:bidi="ar-SA"/>
        </w:rPr>
      </w:sdtEndPr>
      <w:sdtContent>
        <w:p w14:paraId="416394DC">
          <w:pPr>
            <w:spacing w:before="0" w:beforeLines="0" w:after="0" w:afterLines="0" w:line="240" w:lineRule="auto"/>
            <w:ind w:left="0" w:leftChars="0" w:right="0" w:rightChars="0" w:firstLine="0" w:firstLineChars="0"/>
            <w:jc w:val="center"/>
            <w:rPr>
              <w:rFonts w:hint="eastAsia" w:ascii="仿宋_GB2312" w:hAnsi="仿宋_GB2312" w:eastAsia="仿宋_GB2312" w:cs="仿宋_GB2312"/>
              <w:b/>
              <w:bCs/>
              <w:sz w:val="44"/>
              <w:szCs w:val="44"/>
            </w:rPr>
          </w:pPr>
          <w:r>
            <w:rPr>
              <w:rFonts w:hint="eastAsia" w:ascii="仿宋_GB2312" w:hAnsi="仿宋_GB2312" w:eastAsia="仿宋_GB2312" w:cs="仿宋_GB2312"/>
              <w:b/>
              <w:bCs/>
              <w:sz w:val="44"/>
              <w:szCs w:val="44"/>
            </w:rPr>
            <w:t>目录</w:t>
          </w:r>
        </w:p>
        <w:p w14:paraId="1EB91738">
          <w:pPr>
            <w:pStyle w:val="6"/>
            <w:tabs>
              <w:tab w:val="right" w:leader="dot" w:pos="902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TOC \o "1-2" \h \u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\l _Toc14718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一、 规划背景</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_Toc14718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fldChar w:fldCharType="end"/>
          </w:r>
        </w:p>
        <w:p w14:paraId="78575125">
          <w:pPr>
            <w:pStyle w:val="6"/>
            <w:tabs>
              <w:tab w:val="right" w:leader="dot" w:pos="902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\l _Toc263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二、 维护原则</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_Toc263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fldChar w:fldCharType="end"/>
          </w:r>
        </w:p>
        <w:p w14:paraId="431DA8DB">
          <w:pPr>
            <w:pStyle w:val="6"/>
            <w:tabs>
              <w:tab w:val="right" w:leader="dot" w:pos="902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\l _Toc1539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三、 重点任务</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_Toc1539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fldChar w:fldCharType="end"/>
          </w:r>
        </w:p>
        <w:p w14:paraId="74715D9A">
          <w:pPr>
            <w:pStyle w:val="6"/>
            <w:tabs>
              <w:tab w:val="right" w:leader="dot" w:pos="902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\l _Toc17466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四、 维护目标</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_Toc17466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fldChar w:fldCharType="end"/>
          </w:r>
        </w:p>
        <w:p w14:paraId="66AF7FC2">
          <w:pPr>
            <w:pStyle w:val="6"/>
            <w:tabs>
              <w:tab w:val="right" w:leader="dot" w:pos="902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\l _Toc16966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五、 三条控制线维护</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_Toc16966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fldChar w:fldCharType="end"/>
          </w:r>
        </w:p>
        <w:p w14:paraId="571162AC">
          <w:pPr>
            <w:pStyle w:val="6"/>
            <w:tabs>
              <w:tab w:val="right" w:leader="dot" w:pos="902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\l _Toc32125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六、 对中心城区用地布局规划的动态维护</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_Toc32125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fldChar w:fldCharType="end"/>
          </w:r>
        </w:p>
        <w:p w14:paraId="1BAFB617">
          <w:pPr>
            <w:pStyle w:val="6"/>
            <w:tabs>
              <w:tab w:val="right" w:leader="dot" w:pos="902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\l _Toc19825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七、 重点建设项目清单动态维护</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_Toc19825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fldChar w:fldCharType="end"/>
          </w:r>
        </w:p>
        <w:p w14:paraId="0D24AAB6">
          <w:pPr>
            <w:pStyle w:val="6"/>
            <w:tabs>
              <w:tab w:val="right" w:leader="dot" w:pos="902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\l _Toc13239 </w:instrText>
          </w:r>
          <w:r>
            <w:rPr>
              <w:rFonts w:hint="eastAsia" w:ascii="仿宋_GB2312" w:hAnsi="仿宋_GB2312" w:eastAsia="仿宋_GB2312" w:cs="仿宋_GB2312"/>
              <w:sz w:val="32"/>
              <w:szCs w:val="32"/>
              <w:lang w:val="en-US" w:eastAsia="zh-CN"/>
            </w:rPr>
            <w:fldChar w:fldCharType="separate"/>
          </w:r>
          <w:r>
            <w:rPr>
              <w:rFonts w:hint="eastAsia" w:ascii="仿宋_GB2312" w:hAnsi="仿宋_GB2312" w:eastAsia="仿宋_GB2312" w:cs="仿宋_GB2312"/>
              <w:sz w:val="32"/>
              <w:szCs w:val="32"/>
              <w:lang w:val="en-US" w:eastAsia="zh-CN"/>
            </w:rPr>
            <w:t>附图：</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_Toc13239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fldChar w:fldCharType="end"/>
          </w:r>
        </w:p>
        <w:p w14:paraId="6DA00AD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fldChar w:fldCharType="end"/>
          </w:r>
        </w:p>
      </w:sdtContent>
    </w:sdt>
    <w:p w14:paraId="7E1A0D5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20" w:firstLineChars="200"/>
        <w:jc w:val="both"/>
        <w:textAlignment w:val="auto"/>
        <w:rPr>
          <w:rFonts w:hint="eastAsia" w:ascii="仿宋_GB2312" w:hAnsi="仿宋_GB2312" w:eastAsia="仿宋_GB2312" w:cs="仿宋_GB2312"/>
          <w:kern w:val="2"/>
          <w:sz w:val="21"/>
          <w:szCs w:val="40"/>
          <w:lang w:val="en-US" w:eastAsia="zh-CN" w:bidi="ar-SA"/>
        </w:rPr>
      </w:pPr>
      <w:bookmarkStart w:id="8" w:name="_GoBack"/>
      <w:bookmarkEnd w:id="8"/>
    </w:p>
    <w:p w14:paraId="07CB170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lang w:val="en-US" w:eastAsia="zh-CN"/>
        </w:rPr>
      </w:pPr>
    </w:p>
    <w:p w14:paraId="68A2822E">
      <w:pPr>
        <w:pStyle w:val="3"/>
        <w:keepNext/>
        <w:keepLines/>
        <w:pageBreakBefore w:val="0"/>
        <w:widowControl w:val="0"/>
        <w:numPr>
          <w:ilvl w:val="0"/>
          <w:numId w:val="1"/>
        </w:numPr>
        <w:kinsoku/>
        <w:wordWrap/>
        <w:overflowPunct/>
        <w:topLinePunct w:val="0"/>
        <w:autoSpaceDE/>
        <w:autoSpaceDN/>
        <w:bidi w:val="0"/>
        <w:adjustRightInd/>
        <w:snapToGrid/>
        <w:spacing w:line="600" w:lineRule="exact"/>
        <w:textAlignment w:val="auto"/>
        <w:rPr>
          <w:rFonts w:hint="default" w:ascii="楷体_GB2312" w:hAnsi="楷体_GB2312" w:eastAsia="楷体_GB2312" w:cs="楷体_GB2312"/>
          <w:lang w:val="en-US" w:eastAsia="zh-CN"/>
        </w:rPr>
        <w:sectPr>
          <w:footerReference r:id="rId3" w:type="default"/>
          <w:pgSz w:w="11906" w:h="16838"/>
          <w:pgMar w:top="1497" w:right="1440" w:bottom="1497" w:left="1440" w:header="851" w:footer="992" w:gutter="0"/>
          <w:pgNumType w:fmt="decimal" w:start="1"/>
          <w:cols w:space="425" w:num="1"/>
          <w:docGrid w:type="lines" w:linePitch="312" w:charSpace="0"/>
        </w:sectPr>
      </w:pPr>
    </w:p>
    <w:p w14:paraId="57867F75">
      <w:pPr>
        <w:pStyle w:val="3"/>
        <w:keepNext/>
        <w:keepLines/>
        <w:pageBreakBefore w:val="0"/>
        <w:widowControl w:val="0"/>
        <w:numPr>
          <w:ilvl w:val="0"/>
          <w:numId w:val="1"/>
        </w:numPr>
        <w:kinsoku/>
        <w:wordWrap/>
        <w:overflowPunct/>
        <w:topLinePunct w:val="0"/>
        <w:autoSpaceDE/>
        <w:autoSpaceDN/>
        <w:bidi w:val="0"/>
        <w:adjustRightInd/>
        <w:snapToGrid/>
        <w:spacing w:line="600" w:lineRule="exact"/>
        <w:textAlignment w:val="auto"/>
        <w:rPr>
          <w:rFonts w:hint="default" w:ascii="楷体_GB2312" w:hAnsi="楷体_GB2312" w:eastAsia="楷体_GB2312" w:cs="楷体_GB2312"/>
          <w:lang w:val="en-US" w:eastAsia="zh-CN"/>
        </w:rPr>
      </w:pPr>
      <w:bookmarkStart w:id="0" w:name="_Toc14718"/>
      <w:r>
        <w:rPr>
          <w:rFonts w:hint="eastAsia" w:ascii="楷体_GB2312" w:hAnsi="楷体_GB2312" w:eastAsia="楷体_GB2312" w:cs="楷体_GB2312"/>
          <w:lang w:val="en-US" w:eastAsia="zh-CN"/>
        </w:rPr>
        <w:t>规划背景</w:t>
      </w:r>
      <w:bookmarkEnd w:id="0"/>
    </w:p>
    <w:p w14:paraId="35ACF3C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为深入贯彻党的二十届四中全会精神，落实《中共中央关于制定国民经济和社会发展第十五个五年规划的建议》《内蒙古自治区党委关于制定国民经济和社会发展第十五个五年规划的建议》，按照全国自然资源工作会议及2026年工作要点有关要求，以铸牢中华民族共同体意识为主线，进一步发挥国土空间规划基础作用，加强空间布局引领和自然资源要素配置，促进形成优势互补、高质量发展的区域经济布局和国土空间体系，依据自治区自然资源厅印发的《关于开展国土空间总体规划动态调整完善工作的通知》（内自然资发〔2026〕4号，以下简称《通知》）以及《自然资源部国土空间规划局关于国土空间总体规划动态调整完善工作有关问题的答复》（自然资空间规划函〔2025〕411号）（以下简称《答复》）《自然资源部国土空间规划局关于国土空间总体规划动态调整完善工作有关问题的答复（第二版）》（自然资空间规划函〔2026〕37号）（以下简称《答复（第二版）》）等有关要求，特开展《满洲里市国土空间总体规划（2021-2035年）》（以下简称《总体规划》）动态维护工作。</w:t>
      </w:r>
    </w:p>
    <w:p w14:paraId="005DFBE0">
      <w:pPr>
        <w:pStyle w:val="3"/>
        <w:keepNext/>
        <w:keepLines/>
        <w:pageBreakBefore w:val="0"/>
        <w:widowControl w:val="0"/>
        <w:numPr>
          <w:ilvl w:val="0"/>
          <w:numId w:val="1"/>
        </w:numPr>
        <w:kinsoku/>
        <w:wordWrap/>
        <w:overflowPunct/>
        <w:topLinePunct w:val="0"/>
        <w:autoSpaceDE/>
        <w:autoSpaceDN/>
        <w:bidi w:val="0"/>
        <w:adjustRightInd/>
        <w:snapToGrid/>
        <w:spacing w:line="600" w:lineRule="exact"/>
        <w:textAlignment w:val="auto"/>
        <w:rPr>
          <w:rFonts w:hint="default" w:ascii="楷体_GB2312" w:hAnsi="楷体_GB2312" w:eastAsia="楷体_GB2312" w:cs="楷体_GB2312"/>
          <w:b/>
          <w:lang w:val="en-US" w:eastAsia="zh-CN"/>
        </w:rPr>
      </w:pPr>
      <w:bookmarkStart w:id="1" w:name="_Toc263"/>
      <w:r>
        <w:rPr>
          <w:rFonts w:hint="eastAsia" w:ascii="楷体_GB2312" w:hAnsi="楷体_GB2312" w:eastAsia="楷体_GB2312" w:cs="楷体_GB2312"/>
          <w:b/>
          <w:lang w:val="en-US" w:eastAsia="zh-CN"/>
        </w:rPr>
        <w:t>维护原则</w:t>
      </w:r>
      <w:bookmarkEnd w:id="1"/>
    </w:p>
    <w:p w14:paraId="2B52647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本次动态维护以“坚守底线、优化格局、保障发展、提升效能”为总纲，遵循“生态优先、绿色发展”要求。工作属总体规划强制性内容框架内的优化完善，维护已批准规划权威性，确保“先规划、后实施”，杜绝违规变更。核心目标是服务</w:t>
      </w:r>
      <w:r>
        <w:rPr>
          <w:rFonts w:hint="eastAsia" w:ascii="仿宋_GB2312" w:hAnsi="仿宋_GB2312" w:eastAsia="仿宋_GB2312" w:cs="仿宋_GB2312"/>
          <w:sz w:val="32"/>
          <w:szCs w:val="40"/>
          <w:lang w:val="en-US" w:eastAsia="zh-CN"/>
        </w:rPr>
        <w:t>满洲里市</w:t>
      </w:r>
      <w:r>
        <w:rPr>
          <w:rFonts w:hint="default" w:ascii="仿宋_GB2312" w:hAnsi="仿宋_GB2312" w:eastAsia="仿宋_GB2312" w:cs="仿宋_GB2312"/>
          <w:sz w:val="32"/>
          <w:szCs w:val="40"/>
          <w:lang w:val="en-US" w:eastAsia="zh-CN"/>
        </w:rPr>
        <w:t>“十五五”经济社会发展，通过精准高效的空间要素配置，保障重大战略、重点项目落地。具体维护原则包括底线约束与总量管控原则、正向优化与质量提升原则、规划协同与系统传导原则、分类施策与弹性管理原则、程序规范与公众参与原则。</w:t>
      </w:r>
    </w:p>
    <w:p w14:paraId="5F69BCEF">
      <w:pPr>
        <w:pStyle w:val="3"/>
        <w:keepNext/>
        <w:keepLines/>
        <w:pageBreakBefore w:val="0"/>
        <w:widowControl w:val="0"/>
        <w:numPr>
          <w:ilvl w:val="0"/>
          <w:numId w:val="1"/>
        </w:numPr>
        <w:kinsoku/>
        <w:wordWrap/>
        <w:overflowPunct/>
        <w:topLinePunct w:val="0"/>
        <w:autoSpaceDE/>
        <w:autoSpaceDN/>
        <w:bidi w:val="0"/>
        <w:adjustRightInd/>
        <w:snapToGrid/>
        <w:spacing w:line="600" w:lineRule="exact"/>
        <w:textAlignment w:val="auto"/>
        <w:rPr>
          <w:rFonts w:hint="default" w:ascii="楷体_GB2312" w:hAnsi="楷体_GB2312" w:eastAsia="楷体_GB2312" w:cs="楷体_GB2312"/>
          <w:b/>
          <w:lang w:val="en-US" w:eastAsia="zh-CN"/>
        </w:rPr>
      </w:pPr>
      <w:bookmarkStart w:id="2" w:name="_Toc1539"/>
      <w:r>
        <w:rPr>
          <w:rFonts w:hint="eastAsia" w:ascii="楷体_GB2312" w:hAnsi="楷体_GB2312" w:eastAsia="楷体_GB2312" w:cs="楷体_GB2312"/>
          <w:b/>
          <w:lang w:val="en-US" w:eastAsia="zh-CN"/>
        </w:rPr>
        <w:t>重点任务</w:t>
      </w:r>
      <w:bookmarkEnd w:id="2"/>
    </w:p>
    <w:p w14:paraId="1A50BE6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本次工作以对接</w:t>
      </w:r>
      <w:r>
        <w:rPr>
          <w:rFonts w:hint="eastAsia" w:ascii="仿宋_GB2312" w:hAnsi="仿宋_GB2312" w:eastAsia="仿宋_GB2312" w:cs="仿宋_GB2312"/>
          <w:sz w:val="32"/>
          <w:szCs w:val="40"/>
          <w:lang w:val="en-US" w:eastAsia="zh-CN"/>
        </w:rPr>
        <w:t>满洲里市</w:t>
      </w:r>
      <w:r>
        <w:rPr>
          <w:rFonts w:hint="default" w:ascii="仿宋_GB2312" w:hAnsi="仿宋_GB2312" w:eastAsia="仿宋_GB2312" w:cs="仿宋_GB2312"/>
          <w:sz w:val="32"/>
          <w:szCs w:val="40"/>
          <w:lang w:val="en-US" w:eastAsia="zh-CN"/>
        </w:rPr>
        <w:t>各级“十五五”发展规划和专项规划为首要任务，通过落地与空间布局优化，为“十五五”高质量发展提供精准、高效的空间保障。</w:t>
      </w:r>
    </w:p>
    <w:p w14:paraId="412AA8E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在严守空间安全底线，不突破国土空间总体规划确定的保护目标任务，不改变总体规划确定的空间结构和格局的前提下，重点对</w:t>
      </w:r>
      <w:r>
        <w:rPr>
          <w:rFonts w:hint="eastAsia" w:ascii="仿宋_GB2312" w:hAnsi="仿宋_GB2312" w:eastAsia="仿宋_GB2312" w:cs="仿宋_GB2312"/>
          <w:sz w:val="32"/>
          <w:szCs w:val="40"/>
          <w:lang w:val="en-US" w:eastAsia="zh-CN"/>
        </w:rPr>
        <w:t>《</w:t>
      </w:r>
      <w:r>
        <w:rPr>
          <w:rFonts w:hint="default" w:ascii="仿宋_GB2312" w:hAnsi="仿宋_GB2312" w:eastAsia="仿宋_GB2312" w:cs="仿宋_GB2312"/>
          <w:sz w:val="32"/>
          <w:szCs w:val="40"/>
          <w:lang w:val="en-US" w:eastAsia="zh-CN"/>
        </w:rPr>
        <w:t>总体规划</w:t>
      </w:r>
      <w:r>
        <w:rPr>
          <w:rFonts w:hint="eastAsia" w:ascii="仿宋_GB2312" w:hAnsi="仿宋_GB2312" w:eastAsia="仿宋_GB2312" w:cs="仿宋_GB2312"/>
          <w:sz w:val="32"/>
          <w:szCs w:val="40"/>
          <w:lang w:val="en-US" w:eastAsia="zh-CN"/>
        </w:rPr>
        <w:t>》</w:t>
      </w:r>
      <w:r>
        <w:rPr>
          <w:rFonts w:hint="default" w:ascii="仿宋_GB2312" w:hAnsi="仿宋_GB2312" w:eastAsia="仿宋_GB2312" w:cs="仿宋_GB2312"/>
          <w:sz w:val="32"/>
          <w:szCs w:val="40"/>
          <w:lang w:val="en-US" w:eastAsia="zh-CN"/>
        </w:rPr>
        <w:t>的耕地和永久基本农田</w:t>
      </w:r>
      <w:r>
        <w:rPr>
          <w:rFonts w:hint="eastAsia" w:ascii="仿宋_GB2312" w:hAnsi="仿宋_GB2312" w:eastAsia="仿宋_GB2312" w:cs="仿宋_GB2312"/>
          <w:sz w:val="32"/>
          <w:szCs w:val="40"/>
          <w:lang w:val="en-US" w:eastAsia="zh-CN"/>
        </w:rPr>
        <w:t>保护红线</w:t>
      </w:r>
      <w:r>
        <w:rPr>
          <w:rFonts w:hint="default" w:ascii="仿宋_GB2312" w:hAnsi="仿宋_GB2312" w:eastAsia="仿宋_GB2312" w:cs="仿宋_GB2312"/>
          <w:sz w:val="32"/>
          <w:szCs w:val="40"/>
          <w:lang w:val="en-US" w:eastAsia="zh-CN"/>
        </w:rPr>
        <w:t>、城镇开发边界、中心城区用地规划布局</w:t>
      </w:r>
      <w:r>
        <w:rPr>
          <w:rFonts w:hint="eastAsia" w:ascii="仿宋_GB2312" w:hAnsi="仿宋_GB2312" w:eastAsia="仿宋_GB2312" w:cs="仿宋_GB2312"/>
          <w:sz w:val="32"/>
          <w:szCs w:val="40"/>
          <w:lang w:val="en-US" w:eastAsia="zh-CN"/>
        </w:rPr>
        <w:t>、规划用途分区</w:t>
      </w:r>
      <w:r>
        <w:rPr>
          <w:rFonts w:hint="default" w:ascii="仿宋_GB2312" w:hAnsi="仿宋_GB2312" w:eastAsia="仿宋_GB2312" w:cs="仿宋_GB2312"/>
          <w:sz w:val="32"/>
          <w:szCs w:val="40"/>
          <w:lang w:val="en-US" w:eastAsia="zh-CN"/>
        </w:rPr>
        <w:t>、城市重要控制线具体用地布局</w:t>
      </w:r>
      <w:r>
        <w:rPr>
          <w:rFonts w:hint="eastAsia" w:ascii="仿宋_GB2312" w:hAnsi="仿宋_GB2312" w:eastAsia="仿宋_GB2312" w:cs="仿宋_GB2312"/>
          <w:sz w:val="32"/>
          <w:szCs w:val="40"/>
          <w:lang w:val="en-US" w:eastAsia="zh-CN"/>
        </w:rPr>
        <w:t>、详细规划单元划定、</w:t>
      </w:r>
      <w:r>
        <w:rPr>
          <w:rFonts w:hint="default" w:ascii="仿宋_GB2312" w:hAnsi="仿宋_GB2312" w:eastAsia="仿宋_GB2312" w:cs="仿宋_GB2312"/>
          <w:sz w:val="32"/>
          <w:szCs w:val="40"/>
          <w:lang w:val="en-US" w:eastAsia="zh-CN"/>
        </w:rPr>
        <w:t>重点建设项目清单等开展动态维护。</w:t>
      </w:r>
    </w:p>
    <w:p w14:paraId="50C1463C">
      <w:pPr>
        <w:pStyle w:val="3"/>
        <w:keepNext/>
        <w:keepLines/>
        <w:pageBreakBefore w:val="0"/>
        <w:widowControl w:val="0"/>
        <w:numPr>
          <w:ilvl w:val="0"/>
          <w:numId w:val="1"/>
        </w:numPr>
        <w:kinsoku/>
        <w:wordWrap/>
        <w:overflowPunct/>
        <w:topLinePunct w:val="0"/>
        <w:autoSpaceDE/>
        <w:autoSpaceDN/>
        <w:bidi w:val="0"/>
        <w:adjustRightInd/>
        <w:snapToGrid/>
        <w:spacing w:line="600" w:lineRule="exact"/>
        <w:textAlignment w:val="auto"/>
        <w:rPr>
          <w:rFonts w:hint="eastAsia"/>
          <w:lang w:val="en-US" w:eastAsia="zh-CN"/>
        </w:rPr>
      </w:pPr>
      <w:bookmarkStart w:id="3" w:name="_Toc17466"/>
      <w:r>
        <w:rPr>
          <w:rFonts w:hint="eastAsia" w:ascii="楷体_GB2312" w:hAnsi="楷体_GB2312" w:eastAsia="楷体_GB2312" w:cs="楷体_GB2312"/>
          <w:lang w:val="en-US" w:eastAsia="zh-CN"/>
        </w:rPr>
        <w:t>维护目标</w:t>
      </w:r>
      <w:bookmarkEnd w:id="3"/>
    </w:p>
    <w:p w14:paraId="1EB6282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highlight w:val="none"/>
          <w:lang w:val="en-US" w:eastAsia="zh-CN"/>
        </w:rPr>
      </w:pPr>
      <w:r>
        <w:rPr>
          <w:rFonts w:hint="eastAsia" w:ascii="仿宋_GB2312" w:hAnsi="仿宋_GB2312" w:eastAsia="仿宋_GB2312" w:cs="仿宋_GB2312"/>
          <w:sz w:val="32"/>
          <w:szCs w:val="40"/>
          <w:highlight w:val="none"/>
          <w:lang w:val="en-US" w:eastAsia="zh-CN"/>
        </w:rPr>
        <w:t>立足满洲里市国家向北开放重要口岸、欧亚陆路大通道关键综合性枢纽、中蒙俄跨境经济合作先导区的战略定位，紧扣市域资源禀赋、产业基础特色与发展实际，建立健全科学规范、运行高效的国土空间规划动态维护机制。坚持精准优化、动态完善、刚性管控、弹性适应相结合，持续强化国土空间总体规划的战略引领与空间管控作用，系统优化市域国土空间开发保护总体格局，全面提升规划的科学性、适应性与可操作性，统筹发展和安全、开放和保护、当前和长远，为筑牢祖国北疆安全稳定屏障、推动满洲里市经济社会高质量发展、加快建设现代化边境口岸城市提供坚实空间保障与有力支撑。</w:t>
      </w:r>
    </w:p>
    <w:p w14:paraId="4FC4092A">
      <w:pPr>
        <w:pStyle w:val="3"/>
        <w:keepNext/>
        <w:keepLines/>
        <w:pageBreakBefore w:val="0"/>
        <w:widowControl w:val="0"/>
        <w:numPr>
          <w:ilvl w:val="0"/>
          <w:numId w:val="1"/>
        </w:numPr>
        <w:kinsoku/>
        <w:wordWrap/>
        <w:overflowPunct/>
        <w:topLinePunct w:val="0"/>
        <w:autoSpaceDE/>
        <w:autoSpaceDN/>
        <w:bidi w:val="0"/>
        <w:adjustRightInd/>
        <w:snapToGrid/>
        <w:spacing w:line="600" w:lineRule="exact"/>
        <w:textAlignment w:val="auto"/>
        <w:rPr>
          <w:rFonts w:hint="default" w:ascii="楷体_GB2312" w:hAnsi="楷体_GB2312" w:eastAsia="楷体_GB2312" w:cs="楷体_GB2312"/>
          <w:b/>
          <w:lang w:val="en-US" w:eastAsia="zh-CN"/>
        </w:rPr>
      </w:pPr>
      <w:bookmarkStart w:id="4" w:name="_Toc16966"/>
      <w:r>
        <w:rPr>
          <w:rFonts w:hint="eastAsia" w:ascii="楷体_GB2312" w:hAnsi="楷体_GB2312" w:eastAsia="楷体_GB2312" w:cs="楷体_GB2312"/>
          <w:b/>
          <w:lang w:val="en-US" w:eastAsia="zh-CN"/>
        </w:rPr>
        <w:t>三条控制线维护</w:t>
      </w:r>
      <w:bookmarkEnd w:id="4"/>
    </w:p>
    <w:p w14:paraId="6B128CDB">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3" w:firstLineChars="200"/>
        <w:jc w:val="both"/>
        <w:textAlignment w:val="auto"/>
        <w:outlineLvl w:val="2"/>
        <w:rPr>
          <w:rFonts w:hint="eastAsia"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耕地和永久基本农田保护红线动态维护</w:t>
      </w:r>
    </w:p>
    <w:p w14:paraId="345C0BC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本次局部正向优化调出永久基本农田，结</w:t>
      </w:r>
      <w:r>
        <w:rPr>
          <w:rFonts w:hint="eastAsia" w:ascii="仿宋_GB2312" w:hAnsi="仿宋_GB2312" w:eastAsia="仿宋_GB2312" w:cs="仿宋_GB2312"/>
          <w:sz w:val="32"/>
          <w:szCs w:val="40"/>
          <w:highlight w:val="none"/>
          <w:lang w:val="en-US" w:eastAsia="zh-CN"/>
        </w:rPr>
        <w:t>合满洲里市永久基本农田核实处置与国土空间规划年度体检，依法</w:t>
      </w:r>
      <w:r>
        <w:rPr>
          <w:rFonts w:hint="eastAsia" w:ascii="仿宋_GB2312" w:hAnsi="仿宋_GB2312" w:eastAsia="仿宋_GB2312" w:cs="仿宋_GB2312"/>
          <w:sz w:val="32"/>
          <w:szCs w:val="40"/>
          <w:lang w:val="en-US" w:eastAsia="zh-CN"/>
        </w:rPr>
        <w:t>依规将不适宜耕种、难以长期稳定利用的约15.89公顷（238.35亩）地块调出永久基本农田，调入永久基本农田约15.89公顷（238.35亩）。有效落实永久基本农田保护任务，维护了“三区三线”划定成果的严肃性和权威性，优化后永久基本农田数量不减少、质量有提升、布局更优化、生态有改善。</w:t>
      </w:r>
    </w:p>
    <w:p w14:paraId="14CA5256">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3" w:firstLineChars="200"/>
        <w:jc w:val="both"/>
        <w:textAlignment w:val="auto"/>
        <w:outlineLvl w:val="2"/>
        <w:rPr>
          <w:rFonts w:hint="eastAsia" w:ascii="仿宋_GB2312" w:hAnsi="仿宋_GB2312" w:eastAsia="仿宋_GB2312" w:cs="仿宋_GB2312"/>
          <w:b/>
          <w:bCs/>
          <w:sz w:val="32"/>
          <w:szCs w:val="40"/>
          <w:lang w:val="en-US" w:eastAsia="zh-CN"/>
        </w:rPr>
      </w:pPr>
      <w:r>
        <w:rPr>
          <w:rFonts w:hint="eastAsia" w:ascii="仿宋_GB2312" w:hAnsi="仿宋_GB2312" w:eastAsia="仿宋_GB2312" w:cs="仿宋_GB2312"/>
          <w:b/>
          <w:bCs/>
          <w:sz w:val="32"/>
          <w:szCs w:val="40"/>
          <w:lang w:val="en-US" w:eastAsia="zh-CN"/>
        </w:rPr>
        <w:t>城镇开发边界动态维护</w:t>
      </w:r>
    </w:p>
    <w:p w14:paraId="1F6623F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以国家确认逐级下发的最新城镇开发边界（含城镇开发边界外零星城镇建设用地）成果为基础，确保城镇开发边界总面积、规划新增城镇建设用地规模及城镇开发边界扩展系数不突破。</w:t>
      </w:r>
    </w:p>
    <w:p w14:paraId="285158A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结合“十五五”时期重大项目、专项规划、基础设施与公共服务设施布局需求，以及地形地貌、勘界定桩、权属衔接、比例尺精度、遥感影像解译等技术因素，对城镇开发边界、城市重要控制线及规划分区进行技术校核、优化整合与动态完善，提升规划成果精准性与合规性。</w:t>
      </w:r>
    </w:p>
    <w:p w14:paraId="042660A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本次局部正向优化调出城镇开发边界面积约95.59公顷，调入城镇开发边界约95.59公顷。局部优化后未突破满洲里市城镇开发边界总面积、扩展倍数和新增城镇建设用地规模，功能更优化，城镇空间布局更集聚。</w:t>
      </w:r>
    </w:p>
    <w:p w14:paraId="23629F89">
      <w:pPr>
        <w:pStyle w:val="3"/>
        <w:keepNext/>
        <w:keepLines/>
        <w:pageBreakBefore w:val="0"/>
        <w:widowControl w:val="0"/>
        <w:numPr>
          <w:ilvl w:val="0"/>
          <w:numId w:val="1"/>
        </w:numPr>
        <w:kinsoku/>
        <w:wordWrap/>
        <w:overflowPunct/>
        <w:topLinePunct w:val="0"/>
        <w:autoSpaceDE/>
        <w:autoSpaceDN/>
        <w:bidi w:val="0"/>
        <w:adjustRightInd/>
        <w:snapToGrid/>
        <w:spacing w:line="600" w:lineRule="exact"/>
        <w:textAlignment w:val="auto"/>
        <w:rPr>
          <w:rFonts w:hint="eastAsia" w:ascii="楷体_GB2312" w:hAnsi="楷体_GB2312" w:eastAsia="楷体_GB2312" w:cs="楷体_GB2312"/>
          <w:lang w:val="en-US" w:eastAsia="zh-CN"/>
        </w:rPr>
      </w:pPr>
      <w:bookmarkStart w:id="5" w:name="_Toc32125"/>
      <w:r>
        <w:rPr>
          <w:rFonts w:hint="eastAsia" w:ascii="楷体_GB2312" w:hAnsi="楷体_GB2312" w:eastAsia="楷体_GB2312" w:cs="楷体_GB2312"/>
          <w:lang w:val="en-US" w:eastAsia="zh-CN"/>
        </w:rPr>
        <w:t>对中心城区用地布局规划的动态维护</w:t>
      </w:r>
      <w:bookmarkEnd w:id="5"/>
    </w:p>
    <w:p w14:paraId="59C30F4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根据“十五五”期间重点项目布局需求、城区更新要求及专项规划，按照公共服务设施和公共绿地用地总量不降低，服务覆盖范围更加优化，市政基础设施用地规模符合实际建设情况等原则对中心城区范围内涉及公共服务设施、公园绿地等地块进行了调整优化。</w:t>
      </w:r>
    </w:p>
    <w:p w14:paraId="01D855B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调整后中心城区公共服务设施、绿地、交通、市政基础设施等民生设施用地规模不减少，服务半</w:t>
      </w:r>
      <w:r>
        <w:rPr>
          <w:rFonts w:hint="eastAsia" w:ascii="仿宋_GB2312" w:hAnsi="仿宋_GB2312" w:eastAsia="仿宋_GB2312" w:cs="仿宋_GB2312"/>
          <w:sz w:val="32"/>
          <w:szCs w:val="40"/>
          <w:highlight w:val="none"/>
          <w:lang w:val="en-US" w:eastAsia="zh-CN"/>
        </w:rPr>
        <w:t>径更加优化，广场步行5分钟覆盖率及中心城区道路网密度有提高，“城市</w:t>
      </w:r>
      <w:r>
        <w:rPr>
          <w:rFonts w:hint="eastAsia" w:ascii="仿宋_GB2312" w:hAnsi="仿宋_GB2312" w:eastAsia="仿宋_GB2312" w:cs="仿宋_GB2312"/>
          <w:sz w:val="32"/>
          <w:szCs w:val="40"/>
          <w:lang w:val="en-US" w:eastAsia="zh-CN"/>
        </w:rPr>
        <w:t>四线”规模均不低于原总规目标。</w:t>
      </w:r>
    </w:p>
    <w:p w14:paraId="4532408A">
      <w:pPr>
        <w:pStyle w:val="3"/>
        <w:keepNext/>
        <w:keepLines/>
        <w:pageBreakBefore w:val="0"/>
        <w:widowControl w:val="0"/>
        <w:numPr>
          <w:ilvl w:val="0"/>
          <w:numId w:val="1"/>
        </w:numPr>
        <w:kinsoku/>
        <w:wordWrap/>
        <w:overflowPunct/>
        <w:topLinePunct w:val="0"/>
        <w:autoSpaceDE/>
        <w:autoSpaceDN/>
        <w:bidi w:val="0"/>
        <w:adjustRightInd/>
        <w:snapToGrid/>
        <w:spacing w:line="600" w:lineRule="exact"/>
        <w:textAlignment w:val="auto"/>
        <w:rPr>
          <w:rFonts w:hint="eastAsia" w:ascii="楷体_GB2312" w:hAnsi="楷体_GB2312" w:eastAsia="楷体_GB2312" w:cs="楷体_GB2312"/>
          <w:lang w:val="en-US" w:eastAsia="zh-CN"/>
        </w:rPr>
      </w:pPr>
      <w:bookmarkStart w:id="6" w:name="_Toc19825"/>
      <w:r>
        <w:rPr>
          <w:rFonts w:hint="eastAsia" w:ascii="楷体_GB2312" w:hAnsi="楷体_GB2312" w:eastAsia="楷体_GB2312" w:cs="楷体_GB2312"/>
          <w:lang w:val="en-US" w:eastAsia="zh-CN"/>
        </w:rPr>
        <w:t>重点建设项目清单动态维护</w:t>
      </w:r>
      <w:bookmarkEnd w:id="6"/>
    </w:p>
    <w:p w14:paraId="1D1D86B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40"/>
          <w:highlight w:val="none"/>
          <w:lang w:val="en-US" w:eastAsia="zh-CN"/>
        </w:rPr>
      </w:pPr>
      <w:r>
        <w:rPr>
          <w:rFonts w:hint="default" w:ascii="仿宋_GB2312" w:hAnsi="仿宋_GB2312" w:eastAsia="仿宋_GB2312" w:cs="仿宋_GB2312"/>
          <w:sz w:val="32"/>
          <w:szCs w:val="40"/>
          <w:highlight w:val="none"/>
          <w:lang w:val="en-US" w:eastAsia="zh-CN"/>
        </w:rPr>
        <w:t>“十五五”期间，满洲里市将立足边境口岸城市定位，充分发挥口岸经济、进口资源精深加工、文化旅游等特色优势，推动市域产业协同联动、基础设施互联互通。持续完善口岸功能、现代物流体系与公共服务设施，强化“口岸+腹地”协同发展，构建优势互补、统筹协调的市域发展格局。将交通、能源、水利、市政基础设施、民生保障、文化旅游等领域重大项目，统筹纳入国土空间规划重点建设项目清单予以保障。</w:t>
      </w:r>
    </w:p>
    <w:p w14:paraId="6E1FA10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sz w:val="32"/>
          <w:szCs w:val="40"/>
          <w:highlight w:val="none"/>
          <w:lang w:val="en-US" w:eastAsia="zh-CN"/>
        </w:rPr>
      </w:pPr>
    </w:p>
    <w:p w14:paraId="70F99690">
      <w:pPr>
        <w:rPr>
          <w:rFonts w:hint="default" w:ascii="仿宋_GB2312" w:hAnsi="仿宋_GB2312" w:eastAsia="仿宋_GB2312" w:cs="仿宋_GB2312"/>
          <w:sz w:val="32"/>
          <w:szCs w:val="40"/>
          <w:highlight w:val="none"/>
          <w:lang w:val="en-US" w:eastAsia="zh-CN"/>
        </w:rPr>
      </w:pPr>
      <w:r>
        <w:rPr>
          <w:rFonts w:hint="default" w:ascii="仿宋_GB2312" w:hAnsi="仿宋_GB2312" w:eastAsia="仿宋_GB2312" w:cs="仿宋_GB2312"/>
          <w:sz w:val="32"/>
          <w:szCs w:val="40"/>
          <w:highlight w:val="none"/>
          <w:lang w:val="en-US" w:eastAsia="zh-CN"/>
        </w:rPr>
        <w:br w:type="page"/>
      </w:r>
    </w:p>
    <w:p w14:paraId="67DC6643">
      <w:pPr>
        <w:pStyle w:val="3"/>
        <w:keepNext/>
        <w:keepLines/>
        <w:pageBreakBefore w:val="0"/>
        <w:widowControl w:val="0"/>
        <w:numPr>
          <w:numId w:val="0"/>
        </w:numPr>
        <w:kinsoku/>
        <w:wordWrap/>
        <w:overflowPunct/>
        <w:topLinePunct w:val="0"/>
        <w:autoSpaceDE/>
        <w:autoSpaceDN/>
        <w:bidi w:val="0"/>
        <w:adjustRightInd/>
        <w:snapToGrid/>
        <w:spacing w:line="600" w:lineRule="exact"/>
        <w:textAlignment w:val="auto"/>
        <w:rPr>
          <w:rFonts w:hint="default" w:ascii="楷体_GB2312" w:hAnsi="楷体_GB2312" w:eastAsia="楷体_GB2312" w:cs="楷体_GB2312"/>
          <w:lang w:val="en-US" w:eastAsia="zh-CN"/>
        </w:rPr>
      </w:pPr>
      <w:bookmarkStart w:id="7" w:name="_Toc13239"/>
      <w:r>
        <w:rPr>
          <w:rFonts w:hint="eastAsia" w:ascii="楷体_GB2312" w:hAnsi="楷体_GB2312" w:eastAsia="楷体_GB2312" w:cs="楷体_GB2312"/>
          <w:lang w:val="en-US" w:eastAsia="zh-CN"/>
        </w:rPr>
        <w:t>附图：</w:t>
      </w:r>
      <w:bookmarkEnd w:id="7"/>
    </w:p>
    <w:p w14:paraId="1952A3D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_GB2312" w:hAnsi="仿宋_GB2312" w:eastAsia="仿宋_GB2312" w:cs="仿宋_GB2312"/>
          <w:sz w:val="32"/>
          <w:szCs w:val="40"/>
          <w:highlight w:val="none"/>
          <w:lang w:val="en-US" w:eastAsia="zh-CN"/>
        </w:rPr>
      </w:pPr>
      <w:r>
        <w:rPr>
          <w:rFonts w:hint="default" w:ascii="仿宋_GB2312" w:hAnsi="仿宋_GB2312" w:eastAsia="仿宋_GB2312" w:cs="仿宋_GB2312"/>
          <w:sz w:val="32"/>
          <w:szCs w:val="40"/>
          <w:highlight w:val="none"/>
          <w:lang w:val="en-US" w:eastAsia="zh-CN"/>
        </w:rPr>
        <w:drawing>
          <wp:inline distT="0" distB="0" distL="114300" distR="114300">
            <wp:extent cx="5652135" cy="3996055"/>
            <wp:effectExtent l="0" t="0" r="5715" b="4445"/>
            <wp:docPr id="1" name="图片 1" descr="619eab57fde795efc6eeab3b5abe4b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19eab57fde795efc6eeab3b5abe4b9b"/>
                    <pic:cNvPicPr>
                      <a:picLocks noChangeAspect="1"/>
                    </pic:cNvPicPr>
                  </pic:nvPicPr>
                  <pic:blipFill>
                    <a:blip r:embed="rId6"/>
                    <a:stretch>
                      <a:fillRect/>
                    </a:stretch>
                  </pic:blipFill>
                  <pic:spPr>
                    <a:xfrm>
                      <a:off x="0" y="0"/>
                      <a:ext cx="5652135" cy="3996055"/>
                    </a:xfrm>
                    <a:prstGeom prst="rect">
                      <a:avLst/>
                    </a:prstGeom>
                  </pic:spPr>
                </pic:pic>
              </a:graphicData>
            </a:graphic>
          </wp:inline>
        </w:drawing>
      </w:r>
    </w:p>
    <w:p w14:paraId="36AB2E7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_GB2312" w:hAnsi="仿宋_GB2312" w:eastAsia="仿宋_GB2312" w:cs="仿宋_GB2312"/>
          <w:sz w:val="32"/>
          <w:szCs w:val="40"/>
          <w:highlight w:val="none"/>
          <w:lang w:val="en-US" w:eastAsia="zh-CN"/>
        </w:rPr>
      </w:pPr>
      <w:r>
        <w:rPr>
          <w:rFonts w:hint="default" w:ascii="仿宋_GB2312" w:hAnsi="仿宋_GB2312" w:eastAsia="仿宋_GB2312" w:cs="仿宋_GB2312"/>
          <w:sz w:val="32"/>
          <w:szCs w:val="40"/>
          <w:highlight w:val="none"/>
          <w:lang w:val="en-US" w:eastAsia="zh-CN"/>
        </w:rPr>
        <w:drawing>
          <wp:inline distT="0" distB="0" distL="114300" distR="114300">
            <wp:extent cx="5652135" cy="3996055"/>
            <wp:effectExtent l="0" t="0" r="5715" b="4445"/>
            <wp:docPr id="2" name="图片 2" descr="37a397001420daa31c13c2a8ca669d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7a397001420daa31c13c2a8ca669daf"/>
                    <pic:cNvPicPr>
                      <a:picLocks noChangeAspect="1"/>
                    </pic:cNvPicPr>
                  </pic:nvPicPr>
                  <pic:blipFill>
                    <a:blip r:embed="rId7"/>
                    <a:stretch>
                      <a:fillRect/>
                    </a:stretch>
                  </pic:blipFill>
                  <pic:spPr>
                    <a:xfrm>
                      <a:off x="0" y="0"/>
                      <a:ext cx="5652135" cy="3996055"/>
                    </a:xfrm>
                    <a:prstGeom prst="rect">
                      <a:avLst/>
                    </a:prstGeom>
                  </pic:spPr>
                </pic:pic>
              </a:graphicData>
            </a:graphic>
          </wp:inline>
        </w:drawing>
      </w:r>
    </w:p>
    <w:sectPr>
      <w:footerReference r:id="rId4" w:type="default"/>
      <w:pgSz w:w="11906" w:h="16838"/>
      <w:pgMar w:top="1497" w:right="1440" w:bottom="1497" w:left="144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00000001" w:usb1="080E0000" w:usb2="00000000" w:usb3="00000000" w:csb0="00040000" w:csb1="00000000"/>
    <w:embedRegular r:id="rId1" w:fontKey="{3F8405A8-70C3-437B-8D82-70195CF30B02}"/>
  </w:font>
  <w:font w:name="楷体_GB2312">
    <w:panose1 w:val="02010609030101010101"/>
    <w:charset w:val="86"/>
    <w:family w:val="auto"/>
    <w:pitch w:val="default"/>
    <w:sig w:usb0="00000001" w:usb1="080E0000" w:usb2="00000000" w:usb3="00000000" w:csb0="00040000" w:csb1="00000000"/>
    <w:embedRegular r:id="rId2" w:fontKey="{9004C1E0-33E7-4F5B-B628-420106B8C6E2}"/>
  </w:font>
  <w:font w:name="仿宋_GB2312">
    <w:panose1 w:val="02010609030101010101"/>
    <w:charset w:val="86"/>
    <w:family w:val="auto"/>
    <w:pitch w:val="default"/>
    <w:sig w:usb0="00000001" w:usb1="080E0000" w:usb2="00000000" w:usb3="00000000" w:csb0="00040000" w:csb1="00000000"/>
    <w:embedRegular r:id="rId3" w:fontKey="{C1D08FA4-0B22-438E-8011-9A3EC9786B8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D16F1">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605D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01E02">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901E02">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209AB4"/>
    <w:multiLevelType w:val="singleLevel"/>
    <w:tmpl w:val="CA209AB4"/>
    <w:lvl w:ilvl="0" w:tentative="0">
      <w:start w:val="1"/>
      <w:numFmt w:val="chineseCounting"/>
      <w:suff w:val="nothing"/>
      <w:lvlText w:val="（%1）"/>
      <w:lvlJc w:val="left"/>
      <w:rPr>
        <w:rFonts w:hint="eastAsia"/>
      </w:rPr>
    </w:lvl>
  </w:abstractNum>
  <w:abstractNum w:abstractNumId="1">
    <w:nsid w:val="346CE7F0"/>
    <w:multiLevelType w:val="singleLevel"/>
    <w:tmpl w:val="346CE7F0"/>
    <w:lvl w:ilvl="0" w:tentative="0">
      <w:start w:val="1"/>
      <w:numFmt w:val="chineseCounting"/>
      <w:suff w:val="nothing"/>
      <w:lvlText w:val="%1、"/>
      <w:lvlJc w:val="left"/>
      <w:rPr>
        <w:rFonts w:hint="eastAsia" w:ascii="楷体_GB2312" w:hAnsi="楷体_GB2312" w:eastAsia="楷体_GB2312" w:cs="楷体_GB2312"/>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CF67EC"/>
    <w:rsid w:val="06B04988"/>
    <w:rsid w:val="08980FA6"/>
    <w:rsid w:val="13B6765A"/>
    <w:rsid w:val="158A5A42"/>
    <w:rsid w:val="1DA33B45"/>
    <w:rsid w:val="212B21D5"/>
    <w:rsid w:val="2A2F2402"/>
    <w:rsid w:val="2DCF67EC"/>
    <w:rsid w:val="32211B4E"/>
    <w:rsid w:val="328B5359"/>
    <w:rsid w:val="3347635E"/>
    <w:rsid w:val="3EC84D62"/>
    <w:rsid w:val="4203015A"/>
    <w:rsid w:val="427F6EF6"/>
    <w:rsid w:val="4D5C1497"/>
    <w:rsid w:val="592A3D46"/>
    <w:rsid w:val="5E4D122B"/>
    <w:rsid w:val="61D27B22"/>
    <w:rsid w:val="6A993697"/>
    <w:rsid w:val="6DA50326"/>
    <w:rsid w:val="77747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2171</Words>
  <Characters>2231</Characters>
  <Lines>0</Lines>
  <Paragraphs>0</Paragraphs>
  <TotalTime>0</TotalTime>
  <ScaleCrop>false</ScaleCrop>
  <LinksUpToDate>false</LinksUpToDate>
  <CharactersWithSpaces>2259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2026-03-04T09:14:00Z</dcterms:created>
  <dc:creator>珍珍</dc:creator>
  <cp:lastModifiedBy>旭1413619051</cp:lastModifiedBy>
  <dcterms:modified xsi:type="dcterms:W3CDTF">2026-03-09T09:57:50Z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F6F69AA47BFA496F900E329672C8C6C1_13</vt:lpwstr>
  </property>
  <property fmtid="{D5CDD505-2E9C-101B-9397-08002B2CF9AE}" pid="4" name="KSOTemplateDocerSaveRecord">
    <vt:lpwstr>eyJoZGlkIjoiMmZiMGU5YjRlMTAwOTZiZGU5YWZhYWRjM2RmYzA3NTEiLCJ1c2VySWQiOiIyMzI5MTI3MSJ9</vt:lpwstr>
  </property>
</Properties>
</file>